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001C5503"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060200">
        <w:rPr>
          <w:rFonts w:cs="Arial"/>
          <w:b/>
          <w:sz w:val="24"/>
          <w:szCs w:val="24"/>
        </w:rPr>
        <w:t>8</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060200">
        <w:rPr>
          <w:rFonts w:cs="Arial"/>
          <w:b/>
          <w:sz w:val="24"/>
          <w:szCs w:val="24"/>
        </w:rPr>
        <w:t>100572</w:t>
      </w:r>
    </w:p>
    <w:p w14:paraId="31DCE6A5" w14:textId="4AEBA474"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060200">
        <w:rPr>
          <w:b/>
          <w:bCs/>
          <w:noProof/>
          <w:sz w:val="22"/>
          <w:lang w:eastAsia="zh-CN"/>
        </w:rPr>
        <w:t xml:space="preserve">, </w:t>
      </w:r>
      <w:r w:rsidR="00060200" w:rsidRPr="00F451B7">
        <w:rPr>
          <w:b/>
          <w:sz w:val="24"/>
          <w:szCs w:val="24"/>
          <w:lang w:eastAsia="zh-CN"/>
        </w:rPr>
        <w:t>Jan. 25-Feb. 5, 2021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030BD2B4" w14:textId="4A21EB7B" w:rsidR="0032700A" w:rsidRDefault="00675C27" w:rsidP="0032700A">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60200" w:rsidRPr="00060200">
        <w:rPr>
          <w:rFonts w:cs="Arial"/>
          <w:sz w:val="22"/>
        </w:rPr>
        <w:t>PC2 non-contiguous UL CA UE Architecture and MPR/A-MPR evaluation</w:t>
      </w:r>
      <w:r w:rsidR="0032700A" w:rsidRPr="0032700A">
        <w:rPr>
          <w:rFonts w:cs="Arial"/>
          <w:sz w:val="22"/>
        </w:rPr>
        <w:t xml:space="preserve"> </w:t>
      </w:r>
    </w:p>
    <w:p w14:paraId="18DF6355" w14:textId="27805D53" w:rsidR="0032700A" w:rsidRDefault="00675C27" w:rsidP="0032700A">
      <w:pPr>
        <w:pStyle w:val="TAC"/>
        <w:ind w:left="1985" w:hanging="1985"/>
        <w:jc w:val="both"/>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060200" w:rsidRPr="00060200">
        <w:rPr>
          <w:rFonts w:cs="Arial"/>
          <w:sz w:val="22"/>
        </w:rPr>
        <w:t>11.2.2.5 - HPUE for TDD intra-band non-conti</w:t>
      </w:r>
      <w:r w:rsidR="00060200">
        <w:rPr>
          <w:rFonts w:cs="Arial"/>
          <w:sz w:val="22"/>
        </w:rPr>
        <w:t>guous UL CA [NR_RF_FR1_enh-Core</w:t>
      </w:r>
      <w:r w:rsidR="00F30C3B">
        <w:rPr>
          <w:rFonts w:cs="Arial"/>
          <w:sz w:val="22"/>
        </w:rPr>
        <w:t>]</w:t>
      </w:r>
    </w:p>
    <w:p w14:paraId="2E5C6AEA" w14:textId="4CF26EFF" w:rsidR="00675C27" w:rsidRPr="00A62DA7" w:rsidRDefault="00675C27" w:rsidP="0032700A">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4C54D6">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DC08E45" w:rsidR="00577141" w:rsidRDefault="00060200" w:rsidP="00577141">
      <w:pPr>
        <w:overflowPunct/>
        <w:autoSpaceDE/>
        <w:autoSpaceDN/>
        <w:adjustRightInd/>
        <w:spacing w:after="0"/>
        <w:jc w:val="both"/>
        <w:textAlignment w:val="auto"/>
        <w:rPr>
          <w:rFonts w:eastAsia="SimSun"/>
          <w:lang w:eastAsia="zh-CN"/>
        </w:rPr>
      </w:pPr>
      <w:r>
        <w:rPr>
          <w:rFonts w:eastAsia="SimSun"/>
          <w:lang w:eastAsia="zh-CN"/>
        </w:rPr>
        <w:t xml:space="preserve">In the RAN4#97 e-meeting a way forward on assumptions [1] for PC2 non-contiguous UL CA MPR/A-MPR was approved. This contribution discusses the transmitter architecture and provides the </w:t>
      </w:r>
      <w:r w:rsidR="0053123B">
        <w:rPr>
          <w:rFonts w:eastAsia="SimSun"/>
          <w:lang w:eastAsia="zh-CN"/>
        </w:rPr>
        <w:t>evaluation assumptions for</w:t>
      </w:r>
      <w:r w:rsidR="003913C6">
        <w:rPr>
          <w:rFonts w:eastAsia="SimSun"/>
          <w:lang w:eastAsia="zh-CN"/>
        </w:rPr>
        <w:t xml:space="preserve"> n77 and n41</w:t>
      </w:r>
      <w:r>
        <w:rPr>
          <w:rFonts w:eastAsia="SimSun"/>
          <w:lang w:eastAsia="zh-CN"/>
        </w:rPr>
        <w:t xml:space="preserve"> MPR and NS04 A-MPR.</w:t>
      </w:r>
    </w:p>
    <w:p w14:paraId="7C52F962" w14:textId="63068776" w:rsidR="00F1337C" w:rsidRDefault="00853ECB" w:rsidP="00F1337C">
      <w:pPr>
        <w:pStyle w:val="Heading1"/>
        <w:jc w:val="both"/>
        <w:rPr>
          <w:rFonts w:eastAsia="SimSun"/>
          <w:lang w:eastAsia="zh-CN"/>
        </w:rPr>
      </w:pPr>
      <w:r>
        <w:rPr>
          <w:rFonts w:eastAsia="SimSun" w:hint="eastAsia"/>
          <w:lang w:eastAsia="zh-CN"/>
        </w:rPr>
        <w:t>Discussion</w:t>
      </w:r>
    </w:p>
    <w:p w14:paraId="79175DA0" w14:textId="4397E411" w:rsidR="005E2FDA" w:rsidRDefault="005C0F32" w:rsidP="005E2FDA">
      <w:pPr>
        <w:pStyle w:val="Heading2"/>
        <w:spacing w:after="240"/>
        <w:rPr>
          <w:sz w:val="36"/>
          <w:lang w:val="en-US"/>
        </w:rPr>
      </w:pPr>
      <w:r>
        <w:rPr>
          <w:sz w:val="36"/>
          <w:lang w:val="en-US"/>
        </w:rPr>
        <w:t xml:space="preserve">PC2 </w:t>
      </w:r>
      <w:r w:rsidR="005E2FDA">
        <w:rPr>
          <w:sz w:val="36"/>
          <w:lang w:val="en-US"/>
        </w:rPr>
        <w:t>Architecture</w:t>
      </w:r>
      <w:r>
        <w:rPr>
          <w:sz w:val="36"/>
          <w:lang w:val="en-US"/>
        </w:rPr>
        <w:t>, SEM and ACLR</w:t>
      </w:r>
    </w:p>
    <w:p w14:paraId="0F0CCCBE" w14:textId="38A808C0" w:rsidR="005E2FDA" w:rsidRDefault="003A045F" w:rsidP="005E2FDA">
      <w:r>
        <w:t>The s</w:t>
      </w:r>
      <w:r w:rsidR="007B6F57">
        <w:t xml:space="preserve">ame SEM/ACLR approach </w:t>
      </w:r>
      <w:r>
        <w:t xml:space="preserve">than </w:t>
      </w:r>
      <w:r w:rsidR="007B6F57">
        <w:t xml:space="preserve">for PC3 non-contiguous UL CA are used with only ACLR requirement being 1dB more stringent for PC2. UL CA cases being requested </w:t>
      </w:r>
      <w:r w:rsidR="006F7102">
        <w:t xml:space="preserve">in [1] </w:t>
      </w:r>
      <w:r w:rsidR="007B6F57">
        <w:t>are n77(2A) and n41(2A) with support of the U</w:t>
      </w:r>
      <w:r>
        <w:t>.</w:t>
      </w:r>
      <w:r w:rsidR="007B6F57">
        <w:t>S</w:t>
      </w:r>
      <w:r>
        <w:t>.</w:t>
      </w:r>
      <w:r w:rsidR="007B6F57">
        <w:t xml:space="preserve"> n77 and Asia n78 spectrum</w:t>
      </w:r>
      <w:r>
        <w:t>s</w:t>
      </w:r>
      <w:r w:rsidR="007B6F57">
        <w:t>, at least up to 400MHz total transmit bandwidth shall be supported and thus 2 PC2 PA architecture needed like for PC3 2 PA approach. Each PA covering one CC.</w:t>
      </w:r>
    </w:p>
    <w:p w14:paraId="1B02D623" w14:textId="1249F324" w:rsidR="007B6F57" w:rsidRDefault="007B6F57" w:rsidP="007B6F57">
      <w:pPr>
        <w:spacing w:after="0"/>
        <w:rPr>
          <w:b/>
        </w:rPr>
      </w:pPr>
      <w:r w:rsidRPr="007B6F57">
        <w:rPr>
          <w:b/>
        </w:rPr>
        <w:t>Proposal for PC2 baseline architecture and requirements:</w:t>
      </w:r>
    </w:p>
    <w:p w14:paraId="38E3FC76" w14:textId="77777777" w:rsidR="007B6F57" w:rsidRDefault="007B6F57" w:rsidP="007B6F57">
      <w:pPr>
        <w:pStyle w:val="ListParagraph"/>
        <w:numPr>
          <w:ilvl w:val="0"/>
          <w:numId w:val="31"/>
        </w:numPr>
        <w:spacing w:after="0"/>
        <w:rPr>
          <w:b/>
        </w:rPr>
      </w:pPr>
      <w:r>
        <w:rPr>
          <w:b/>
        </w:rPr>
        <w:t>PC3 non-contiguous UL CA SEM requirement applicable to PC2</w:t>
      </w:r>
    </w:p>
    <w:p w14:paraId="3A0154FD" w14:textId="25FD748A" w:rsidR="007B6F57" w:rsidRDefault="007B6F57" w:rsidP="007B6F57">
      <w:pPr>
        <w:pStyle w:val="ListParagraph"/>
        <w:numPr>
          <w:ilvl w:val="0"/>
          <w:numId w:val="31"/>
        </w:numPr>
        <w:spacing w:after="0"/>
        <w:rPr>
          <w:b/>
        </w:rPr>
      </w:pPr>
      <w:r>
        <w:rPr>
          <w:b/>
        </w:rPr>
        <w:t>PC3 ACLR definition is applicable to PC2 with 31dB ACLR instead of 30 dB</w:t>
      </w:r>
    </w:p>
    <w:p w14:paraId="076C9C64" w14:textId="2593C020" w:rsidR="007B6F57" w:rsidRDefault="007B6F57" w:rsidP="007B6F57">
      <w:pPr>
        <w:pStyle w:val="ListParagraph"/>
        <w:numPr>
          <w:ilvl w:val="0"/>
          <w:numId w:val="31"/>
        </w:numPr>
        <w:spacing w:after="0"/>
        <w:rPr>
          <w:b/>
        </w:rPr>
      </w:pPr>
      <w:r>
        <w:rPr>
          <w:b/>
        </w:rPr>
        <w:t>MPR and A-MPR values are derived f</w:t>
      </w:r>
      <w:r w:rsidR="00611761">
        <w:rPr>
          <w:b/>
        </w:rPr>
        <w:t>ro</w:t>
      </w:r>
      <w:r>
        <w:rPr>
          <w:b/>
        </w:rPr>
        <w:t xml:space="preserve">m a two PC2 PAs and antennas </w:t>
      </w:r>
      <w:r w:rsidR="00611761">
        <w:rPr>
          <w:b/>
        </w:rPr>
        <w:t>each supporting one of the CC</w:t>
      </w:r>
    </w:p>
    <w:p w14:paraId="68291BB1" w14:textId="77777777" w:rsidR="00646AFD" w:rsidRDefault="00646AFD" w:rsidP="00646AFD">
      <w:pPr>
        <w:spacing w:after="0"/>
        <w:rPr>
          <w:b/>
        </w:rPr>
      </w:pPr>
    </w:p>
    <w:p w14:paraId="05DDD70D" w14:textId="276DAC25" w:rsidR="00646AFD" w:rsidRDefault="00E77688" w:rsidP="00646AFD">
      <w:pPr>
        <w:spacing w:after="0"/>
      </w:pPr>
      <w:r>
        <w:t xml:space="preserve">When looking at the current specification status </w:t>
      </w:r>
      <w:r w:rsidR="0053123B">
        <w:t xml:space="preserve">we find that the PC3 2xPA solution for non-contiguous UL CA has worse MPR </w:t>
      </w:r>
      <w:r w:rsidR="006F7102">
        <w:t xml:space="preserve">than the single PA PC3 case for contiguous UL CA and almost the same </w:t>
      </w:r>
      <w:r w:rsidR="003A045F">
        <w:t>as</w:t>
      </w:r>
      <w:r w:rsidR="006F7102">
        <w:t xml:space="preserve"> the single PA PC2 results presented in [4]</w:t>
      </w:r>
      <w:r w:rsidR="007C1FFC">
        <w:t>. Table 1 compares a few cases and points at some inconsistencies.</w:t>
      </w:r>
    </w:p>
    <w:p w14:paraId="5574C6B4" w14:textId="3571BFCA" w:rsidR="00660FD7" w:rsidRDefault="00660FD7" w:rsidP="00660FD7">
      <w:pPr>
        <w:pStyle w:val="Caption"/>
        <w:keepNext/>
        <w:jc w:val="center"/>
      </w:pPr>
      <w:r>
        <w:t xml:space="preserve">Table </w:t>
      </w:r>
      <w:r w:rsidR="0083662C">
        <w:fldChar w:fldCharType="begin"/>
      </w:r>
      <w:r w:rsidR="0083662C">
        <w:instrText xml:space="preserve"> SEQ Table \* ARABIC </w:instrText>
      </w:r>
      <w:r w:rsidR="0083662C">
        <w:fldChar w:fldCharType="separate"/>
      </w:r>
      <w:r>
        <w:rPr>
          <w:noProof/>
        </w:rPr>
        <w:t>1</w:t>
      </w:r>
      <w:r w:rsidR="0083662C">
        <w:rPr>
          <w:noProof/>
        </w:rPr>
        <w:fldChar w:fldCharType="end"/>
      </w:r>
      <w:r>
        <w:t xml:space="preserve">: Different MPR/A-MPR per UL CA and </w:t>
      </w:r>
      <w:r>
        <w:rPr>
          <w:noProof/>
        </w:rPr>
        <w:t>Power class cases</w:t>
      </w:r>
    </w:p>
    <w:tbl>
      <w:tblPr>
        <w:tblW w:w="9920" w:type="dxa"/>
        <w:tblInd w:w="93" w:type="dxa"/>
        <w:tblLayout w:type="fixed"/>
        <w:tblLook w:val="04A0" w:firstRow="1" w:lastRow="0" w:firstColumn="1" w:lastColumn="0" w:noHBand="0" w:noVBand="1"/>
      </w:tblPr>
      <w:tblGrid>
        <w:gridCol w:w="735"/>
        <w:gridCol w:w="450"/>
        <w:gridCol w:w="630"/>
        <w:gridCol w:w="720"/>
        <w:gridCol w:w="1620"/>
        <w:gridCol w:w="810"/>
        <w:gridCol w:w="924"/>
        <w:gridCol w:w="4031"/>
      </w:tblGrid>
      <w:tr w:rsidR="00660FD7" w:rsidRPr="00660FD7" w14:paraId="646733E6" w14:textId="77777777" w:rsidTr="00660FD7">
        <w:trPr>
          <w:trHeight w:val="492"/>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BAA71"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Case</w:t>
            </w:r>
          </w:p>
        </w:tc>
        <w:tc>
          <w:tcPr>
            <w:tcW w:w="450" w:type="dxa"/>
            <w:tcBorders>
              <w:top w:val="single" w:sz="4" w:space="0" w:color="auto"/>
              <w:left w:val="nil"/>
              <w:bottom w:val="single" w:sz="4" w:space="0" w:color="auto"/>
              <w:right w:val="single" w:sz="4" w:space="0" w:color="auto"/>
            </w:tcBorders>
            <w:shd w:val="clear" w:color="auto" w:fill="auto"/>
            <w:noWrap/>
            <w:vAlign w:val="center"/>
            <w:hideMark/>
          </w:tcPr>
          <w:p w14:paraId="38A69DB3"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PC</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6AFC9E09"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Arch.</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7847C071"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NS</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73AEB4F2"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Req.</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10609889"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WC MPR</w:t>
            </w:r>
            <w:r w:rsidRPr="00660FD7">
              <w:rPr>
                <w:rFonts w:ascii="Calibri" w:hAnsi="Calibri"/>
                <w:color w:val="000000"/>
                <w:sz w:val="18"/>
                <w:szCs w:val="18"/>
              </w:rPr>
              <w:br/>
              <w:t>/AMPR</w:t>
            </w:r>
          </w:p>
        </w:tc>
        <w:tc>
          <w:tcPr>
            <w:tcW w:w="924" w:type="dxa"/>
            <w:tcBorders>
              <w:top w:val="single" w:sz="4" w:space="0" w:color="auto"/>
              <w:left w:val="nil"/>
              <w:bottom w:val="single" w:sz="4" w:space="0" w:color="auto"/>
              <w:right w:val="single" w:sz="4" w:space="0" w:color="auto"/>
            </w:tcBorders>
            <w:shd w:val="clear" w:color="auto" w:fill="auto"/>
            <w:vAlign w:val="bottom"/>
            <w:hideMark/>
          </w:tcPr>
          <w:p w14:paraId="64C8738B"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source</w:t>
            </w:r>
          </w:p>
        </w:tc>
        <w:tc>
          <w:tcPr>
            <w:tcW w:w="4031" w:type="dxa"/>
            <w:tcBorders>
              <w:top w:val="single" w:sz="4" w:space="0" w:color="auto"/>
              <w:left w:val="nil"/>
              <w:bottom w:val="single" w:sz="4" w:space="0" w:color="auto"/>
              <w:right w:val="single" w:sz="4" w:space="0" w:color="auto"/>
            </w:tcBorders>
            <w:shd w:val="clear" w:color="auto" w:fill="auto"/>
            <w:vAlign w:val="bottom"/>
            <w:hideMark/>
          </w:tcPr>
          <w:p w14:paraId="7905890A"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comment</w:t>
            </w:r>
          </w:p>
        </w:tc>
      </w:tr>
      <w:tr w:rsidR="00660FD7" w:rsidRPr="00660FD7" w14:paraId="316E6386" w14:textId="77777777" w:rsidTr="003C4C79">
        <w:trPr>
          <w:trHeight w:val="288"/>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663EF4B7"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 xml:space="preserve">PC3 </w:t>
            </w:r>
            <w:proofErr w:type="spellStart"/>
            <w:r w:rsidRPr="00660FD7">
              <w:rPr>
                <w:rFonts w:ascii="Calibri" w:hAnsi="Calibri"/>
                <w:color w:val="000000"/>
                <w:sz w:val="18"/>
                <w:szCs w:val="18"/>
              </w:rPr>
              <w:t>Cont</w:t>
            </w:r>
            <w:proofErr w:type="spellEnd"/>
            <w:r w:rsidRPr="00660FD7">
              <w:rPr>
                <w:rFonts w:ascii="Calibri" w:hAnsi="Calibri"/>
                <w:color w:val="000000"/>
                <w:sz w:val="18"/>
                <w:szCs w:val="18"/>
              </w:rPr>
              <w:t xml:space="preserve"> UL CA</w:t>
            </w:r>
          </w:p>
        </w:tc>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83EFB7B"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3</w:t>
            </w:r>
          </w:p>
        </w:tc>
        <w:tc>
          <w:tcPr>
            <w:tcW w:w="630" w:type="dxa"/>
            <w:vMerge w:val="restart"/>
            <w:tcBorders>
              <w:top w:val="nil"/>
              <w:left w:val="single" w:sz="4" w:space="0" w:color="auto"/>
              <w:bottom w:val="single" w:sz="4" w:space="0" w:color="000000"/>
              <w:right w:val="single" w:sz="4" w:space="0" w:color="auto"/>
            </w:tcBorders>
            <w:shd w:val="clear" w:color="auto" w:fill="auto"/>
            <w:vAlign w:val="center"/>
            <w:hideMark/>
          </w:tcPr>
          <w:p w14:paraId="25F67E66" w14:textId="77777777" w:rsid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1x</w:t>
            </w:r>
            <w:r w:rsidRPr="00660FD7">
              <w:rPr>
                <w:rFonts w:ascii="Calibri" w:hAnsi="Calibri"/>
                <w:color w:val="000000"/>
                <w:sz w:val="18"/>
                <w:szCs w:val="18"/>
              </w:rPr>
              <w:br/>
              <w:t>PC3</w:t>
            </w:r>
          </w:p>
          <w:p w14:paraId="43425FD8" w14:textId="7C5BE0CC"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PA</w:t>
            </w:r>
          </w:p>
        </w:tc>
        <w:tc>
          <w:tcPr>
            <w:tcW w:w="720" w:type="dxa"/>
            <w:tcBorders>
              <w:top w:val="nil"/>
              <w:left w:val="nil"/>
              <w:bottom w:val="single" w:sz="4" w:space="0" w:color="auto"/>
              <w:right w:val="single" w:sz="4" w:space="0" w:color="auto"/>
            </w:tcBorders>
            <w:shd w:val="clear" w:color="auto" w:fill="auto"/>
            <w:noWrap/>
            <w:vAlign w:val="bottom"/>
            <w:hideMark/>
          </w:tcPr>
          <w:p w14:paraId="6463CA37"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01</w:t>
            </w:r>
          </w:p>
        </w:tc>
        <w:tc>
          <w:tcPr>
            <w:tcW w:w="1620" w:type="dxa"/>
            <w:tcBorders>
              <w:top w:val="nil"/>
              <w:left w:val="nil"/>
              <w:bottom w:val="single" w:sz="4" w:space="0" w:color="auto"/>
              <w:right w:val="single" w:sz="4" w:space="0" w:color="auto"/>
            </w:tcBorders>
            <w:shd w:val="clear" w:color="auto" w:fill="auto"/>
            <w:noWrap/>
            <w:vAlign w:val="bottom"/>
            <w:hideMark/>
          </w:tcPr>
          <w:p w14:paraId="63519DA2"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-30dBm/MHz IM5</w:t>
            </w:r>
          </w:p>
        </w:tc>
        <w:tc>
          <w:tcPr>
            <w:tcW w:w="810" w:type="dxa"/>
            <w:tcBorders>
              <w:top w:val="nil"/>
              <w:left w:val="nil"/>
              <w:bottom w:val="single" w:sz="4" w:space="0" w:color="auto"/>
              <w:right w:val="single" w:sz="4" w:space="0" w:color="auto"/>
            </w:tcBorders>
            <w:shd w:val="clear" w:color="auto" w:fill="auto"/>
            <w:noWrap/>
            <w:vAlign w:val="bottom"/>
            <w:hideMark/>
          </w:tcPr>
          <w:p w14:paraId="4D194125" w14:textId="77777777" w:rsidR="00660FD7" w:rsidRPr="00660FD7" w:rsidRDefault="00660FD7" w:rsidP="00660FD7">
            <w:pPr>
              <w:overflowPunct/>
              <w:autoSpaceDE/>
              <w:autoSpaceDN/>
              <w:adjustRightInd/>
              <w:spacing w:after="0"/>
              <w:jc w:val="right"/>
              <w:textAlignment w:val="auto"/>
              <w:rPr>
                <w:rFonts w:ascii="Calibri" w:hAnsi="Calibri"/>
                <w:color w:val="000000"/>
                <w:sz w:val="18"/>
                <w:szCs w:val="18"/>
              </w:rPr>
            </w:pPr>
            <w:r w:rsidRPr="00660FD7">
              <w:rPr>
                <w:rFonts w:ascii="Calibri" w:hAnsi="Calibri"/>
                <w:color w:val="FF0000"/>
                <w:sz w:val="18"/>
                <w:szCs w:val="18"/>
              </w:rPr>
              <w:t>14</w:t>
            </w:r>
          </w:p>
        </w:tc>
        <w:tc>
          <w:tcPr>
            <w:tcW w:w="924" w:type="dxa"/>
            <w:vMerge w:val="restart"/>
            <w:tcBorders>
              <w:top w:val="nil"/>
              <w:left w:val="single" w:sz="4" w:space="0" w:color="auto"/>
              <w:bottom w:val="single" w:sz="4" w:space="0" w:color="auto"/>
              <w:right w:val="single" w:sz="4" w:space="0" w:color="auto"/>
            </w:tcBorders>
            <w:shd w:val="clear" w:color="auto" w:fill="auto"/>
            <w:vAlign w:val="bottom"/>
            <w:hideMark/>
          </w:tcPr>
          <w:p w14:paraId="5CE4F47E"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R16</w:t>
            </w:r>
            <w:r w:rsidRPr="00660FD7">
              <w:rPr>
                <w:rFonts w:ascii="Calibri" w:hAnsi="Calibri"/>
                <w:color w:val="000000"/>
                <w:sz w:val="18"/>
                <w:szCs w:val="18"/>
              </w:rPr>
              <w:br/>
              <w:t>38.101-1</w:t>
            </w:r>
          </w:p>
        </w:tc>
        <w:tc>
          <w:tcPr>
            <w:tcW w:w="4031" w:type="dxa"/>
            <w:tcBorders>
              <w:top w:val="nil"/>
              <w:left w:val="nil"/>
              <w:bottom w:val="single" w:sz="4" w:space="0" w:color="auto"/>
              <w:right w:val="single" w:sz="4" w:space="0" w:color="auto"/>
            </w:tcBorders>
            <w:shd w:val="clear" w:color="auto" w:fill="auto"/>
            <w:vAlign w:val="bottom"/>
            <w:hideMark/>
          </w:tcPr>
          <w:p w14:paraId="56846D9F"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based on outer 2 class C</w:t>
            </w:r>
          </w:p>
        </w:tc>
      </w:tr>
      <w:tr w:rsidR="00660FD7" w:rsidRPr="00660FD7" w14:paraId="1D7F4D89" w14:textId="77777777" w:rsidTr="00660FD7">
        <w:trPr>
          <w:trHeight w:val="288"/>
        </w:trPr>
        <w:tc>
          <w:tcPr>
            <w:tcW w:w="735" w:type="dxa"/>
            <w:vMerge/>
            <w:tcBorders>
              <w:top w:val="nil"/>
              <w:left w:val="single" w:sz="4" w:space="0" w:color="auto"/>
              <w:bottom w:val="single" w:sz="4" w:space="0" w:color="auto"/>
              <w:right w:val="single" w:sz="4" w:space="0" w:color="auto"/>
            </w:tcBorders>
            <w:vAlign w:val="center"/>
            <w:hideMark/>
          </w:tcPr>
          <w:p w14:paraId="72ECE1B2"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50" w:type="dxa"/>
            <w:vMerge/>
            <w:tcBorders>
              <w:top w:val="nil"/>
              <w:left w:val="single" w:sz="4" w:space="0" w:color="auto"/>
              <w:bottom w:val="single" w:sz="4" w:space="0" w:color="000000"/>
              <w:right w:val="single" w:sz="4" w:space="0" w:color="auto"/>
            </w:tcBorders>
            <w:vAlign w:val="center"/>
            <w:hideMark/>
          </w:tcPr>
          <w:p w14:paraId="049B5796"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630" w:type="dxa"/>
            <w:vMerge/>
            <w:tcBorders>
              <w:top w:val="nil"/>
              <w:left w:val="single" w:sz="4" w:space="0" w:color="auto"/>
              <w:bottom w:val="single" w:sz="4" w:space="0" w:color="000000"/>
              <w:right w:val="single" w:sz="4" w:space="0" w:color="auto"/>
            </w:tcBorders>
            <w:vAlign w:val="center"/>
            <w:hideMark/>
          </w:tcPr>
          <w:p w14:paraId="567BDAF3"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720" w:type="dxa"/>
            <w:tcBorders>
              <w:top w:val="nil"/>
              <w:left w:val="nil"/>
              <w:bottom w:val="single" w:sz="4" w:space="0" w:color="auto"/>
              <w:right w:val="single" w:sz="4" w:space="0" w:color="auto"/>
            </w:tcBorders>
            <w:shd w:val="clear" w:color="auto" w:fill="auto"/>
            <w:noWrap/>
            <w:vAlign w:val="bottom"/>
            <w:hideMark/>
          </w:tcPr>
          <w:p w14:paraId="688B84BA"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01-04</w:t>
            </w:r>
          </w:p>
        </w:tc>
        <w:tc>
          <w:tcPr>
            <w:tcW w:w="1620" w:type="dxa"/>
            <w:tcBorders>
              <w:top w:val="nil"/>
              <w:left w:val="nil"/>
              <w:bottom w:val="single" w:sz="4" w:space="0" w:color="auto"/>
              <w:right w:val="single" w:sz="4" w:space="0" w:color="auto"/>
            </w:tcBorders>
            <w:shd w:val="clear" w:color="auto" w:fill="auto"/>
            <w:noWrap/>
            <w:vAlign w:val="bottom"/>
            <w:hideMark/>
          </w:tcPr>
          <w:p w14:paraId="4B6FB55A"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-13dBm/MHz IM3</w:t>
            </w:r>
          </w:p>
        </w:tc>
        <w:tc>
          <w:tcPr>
            <w:tcW w:w="810" w:type="dxa"/>
            <w:tcBorders>
              <w:top w:val="nil"/>
              <w:left w:val="nil"/>
              <w:bottom w:val="single" w:sz="4" w:space="0" w:color="auto"/>
              <w:right w:val="single" w:sz="4" w:space="0" w:color="auto"/>
            </w:tcBorders>
            <w:shd w:val="clear" w:color="auto" w:fill="auto"/>
            <w:noWrap/>
            <w:vAlign w:val="bottom"/>
            <w:hideMark/>
          </w:tcPr>
          <w:p w14:paraId="178D191C" w14:textId="77777777" w:rsidR="00660FD7" w:rsidRPr="00660FD7" w:rsidRDefault="00660FD7" w:rsidP="00660FD7">
            <w:pPr>
              <w:overflowPunct/>
              <w:autoSpaceDE/>
              <w:autoSpaceDN/>
              <w:adjustRightInd/>
              <w:spacing w:after="0"/>
              <w:jc w:val="right"/>
              <w:textAlignment w:val="auto"/>
              <w:rPr>
                <w:rFonts w:ascii="Calibri" w:hAnsi="Calibri"/>
                <w:color w:val="000000"/>
                <w:sz w:val="18"/>
                <w:szCs w:val="18"/>
              </w:rPr>
            </w:pPr>
            <w:r w:rsidRPr="00660FD7">
              <w:rPr>
                <w:rFonts w:ascii="Calibri" w:hAnsi="Calibri"/>
                <w:color w:val="000000"/>
                <w:sz w:val="18"/>
                <w:szCs w:val="18"/>
              </w:rPr>
              <w:t>7</w:t>
            </w:r>
          </w:p>
        </w:tc>
        <w:tc>
          <w:tcPr>
            <w:tcW w:w="924" w:type="dxa"/>
            <w:vMerge/>
            <w:tcBorders>
              <w:top w:val="nil"/>
              <w:left w:val="single" w:sz="4" w:space="0" w:color="auto"/>
              <w:bottom w:val="single" w:sz="4" w:space="0" w:color="auto"/>
              <w:right w:val="single" w:sz="4" w:space="0" w:color="auto"/>
            </w:tcBorders>
            <w:vAlign w:val="center"/>
            <w:hideMark/>
          </w:tcPr>
          <w:p w14:paraId="1B0911BA"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031" w:type="dxa"/>
            <w:tcBorders>
              <w:top w:val="nil"/>
              <w:left w:val="nil"/>
              <w:bottom w:val="single" w:sz="4" w:space="0" w:color="auto"/>
              <w:right w:val="single" w:sz="4" w:space="0" w:color="auto"/>
            </w:tcBorders>
            <w:shd w:val="clear" w:color="auto" w:fill="auto"/>
            <w:vAlign w:val="bottom"/>
            <w:hideMark/>
          </w:tcPr>
          <w:p w14:paraId="45F9DC25"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based on outer 1 class C</w:t>
            </w:r>
          </w:p>
        </w:tc>
      </w:tr>
      <w:tr w:rsidR="00660FD7" w:rsidRPr="00660FD7" w14:paraId="2226F834" w14:textId="77777777" w:rsidTr="00660FD7">
        <w:trPr>
          <w:trHeight w:val="492"/>
        </w:trPr>
        <w:tc>
          <w:tcPr>
            <w:tcW w:w="735" w:type="dxa"/>
            <w:vMerge/>
            <w:tcBorders>
              <w:top w:val="nil"/>
              <w:left w:val="single" w:sz="4" w:space="0" w:color="auto"/>
              <w:bottom w:val="single" w:sz="4" w:space="0" w:color="auto"/>
              <w:right w:val="single" w:sz="4" w:space="0" w:color="auto"/>
            </w:tcBorders>
            <w:vAlign w:val="center"/>
            <w:hideMark/>
          </w:tcPr>
          <w:p w14:paraId="37CE4F4C"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50" w:type="dxa"/>
            <w:vMerge/>
            <w:tcBorders>
              <w:top w:val="nil"/>
              <w:left w:val="single" w:sz="4" w:space="0" w:color="auto"/>
              <w:bottom w:val="single" w:sz="4" w:space="0" w:color="000000"/>
              <w:right w:val="single" w:sz="4" w:space="0" w:color="auto"/>
            </w:tcBorders>
            <w:vAlign w:val="center"/>
            <w:hideMark/>
          </w:tcPr>
          <w:p w14:paraId="00C4D7E0"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630" w:type="dxa"/>
            <w:vMerge/>
            <w:tcBorders>
              <w:top w:val="nil"/>
              <w:left w:val="single" w:sz="4" w:space="0" w:color="auto"/>
              <w:bottom w:val="single" w:sz="4" w:space="0" w:color="000000"/>
              <w:right w:val="single" w:sz="4" w:space="0" w:color="auto"/>
            </w:tcBorders>
            <w:vAlign w:val="center"/>
            <w:hideMark/>
          </w:tcPr>
          <w:p w14:paraId="1A9A67DF"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720" w:type="dxa"/>
            <w:tcBorders>
              <w:top w:val="nil"/>
              <w:left w:val="nil"/>
              <w:bottom w:val="single" w:sz="4" w:space="0" w:color="auto"/>
              <w:right w:val="single" w:sz="4" w:space="0" w:color="auto"/>
            </w:tcBorders>
            <w:shd w:val="clear" w:color="auto" w:fill="auto"/>
            <w:noWrap/>
            <w:vAlign w:val="bottom"/>
            <w:hideMark/>
          </w:tcPr>
          <w:p w14:paraId="308F9208"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04</w:t>
            </w:r>
          </w:p>
        </w:tc>
        <w:tc>
          <w:tcPr>
            <w:tcW w:w="1620" w:type="dxa"/>
            <w:tcBorders>
              <w:top w:val="nil"/>
              <w:left w:val="nil"/>
              <w:bottom w:val="single" w:sz="4" w:space="0" w:color="auto"/>
              <w:right w:val="single" w:sz="4" w:space="0" w:color="auto"/>
            </w:tcBorders>
            <w:shd w:val="clear" w:color="auto" w:fill="auto"/>
            <w:noWrap/>
            <w:vAlign w:val="bottom"/>
            <w:hideMark/>
          </w:tcPr>
          <w:p w14:paraId="0EE20ED8"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-25dBm/MHz IM3</w:t>
            </w:r>
          </w:p>
        </w:tc>
        <w:tc>
          <w:tcPr>
            <w:tcW w:w="810" w:type="dxa"/>
            <w:tcBorders>
              <w:top w:val="nil"/>
              <w:left w:val="nil"/>
              <w:bottom w:val="single" w:sz="4" w:space="0" w:color="auto"/>
              <w:right w:val="single" w:sz="4" w:space="0" w:color="auto"/>
            </w:tcBorders>
            <w:shd w:val="clear" w:color="auto" w:fill="auto"/>
            <w:noWrap/>
            <w:vAlign w:val="bottom"/>
            <w:hideMark/>
          </w:tcPr>
          <w:p w14:paraId="11602CB5" w14:textId="77777777" w:rsidR="00660FD7" w:rsidRPr="00660FD7" w:rsidRDefault="00660FD7" w:rsidP="00660FD7">
            <w:pPr>
              <w:overflowPunct/>
              <w:autoSpaceDE/>
              <w:autoSpaceDN/>
              <w:adjustRightInd/>
              <w:spacing w:after="0"/>
              <w:jc w:val="right"/>
              <w:textAlignment w:val="auto"/>
              <w:rPr>
                <w:rFonts w:ascii="Calibri" w:hAnsi="Calibri"/>
                <w:color w:val="000000"/>
                <w:sz w:val="18"/>
                <w:szCs w:val="18"/>
              </w:rPr>
            </w:pPr>
            <w:r w:rsidRPr="00660FD7">
              <w:rPr>
                <w:rFonts w:ascii="Calibri" w:hAnsi="Calibri"/>
                <w:color w:val="000000"/>
                <w:sz w:val="18"/>
                <w:szCs w:val="18"/>
              </w:rPr>
              <w:t>13</w:t>
            </w:r>
          </w:p>
        </w:tc>
        <w:tc>
          <w:tcPr>
            <w:tcW w:w="924" w:type="dxa"/>
            <w:vMerge/>
            <w:tcBorders>
              <w:top w:val="nil"/>
              <w:left w:val="single" w:sz="4" w:space="0" w:color="auto"/>
              <w:bottom w:val="single" w:sz="4" w:space="0" w:color="auto"/>
              <w:right w:val="single" w:sz="4" w:space="0" w:color="auto"/>
            </w:tcBorders>
            <w:vAlign w:val="center"/>
            <w:hideMark/>
          </w:tcPr>
          <w:p w14:paraId="319FC860"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031" w:type="dxa"/>
            <w:tcBorders>
              <w:top w:val="nil"/>
              <w:left w:val="nil"/>
              <w:bottom w:val="single" w:sz="4" w:space="0" w:color="auto"/>
              <w:right w:val="single" w:sz="4" w:space="0" w:color="auto"/>
            </w:tcBorders>
            <w:shd w:val="clear" w:color="auto" w:fill="auto"/>
            <w:vAlign w:val="bottom"/>
            <w:hideMark/>
          </w:tcPr>
          <w:p w14:paraId="59D6D7F0" w14:textId="21C3E8A3" w:rsidR="00660FD7" w:rsidRPr="00660FD7" w:rsidRDefault="00660FD7" w:rsidP="003C4C79">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 xml:space="preserve">should only be valid for </w:t>
            </w:r>
            <w:proofErr w:type="spellStart"/>
            <w:r w:rsidRPr="00660FD7">
              <w:rPr>
                <w:rFonts w:ascii="Calibri" w:hAnsi="Calibri"/>
                <w:color w:val="000000"/>
                <w:sz w:val="18"/>
                <w:szCs w:val="18"/>
              </w:rPr>
              <w:t>Cont</w:t>
            </w:r>
            <w:proofErr w:type="spellEnd"/>
            <w:r w:rsidRPr="00660FD7">
              <w:rPr>
                <w:rFonts w:ascii="Calibri" w:hAnsi="Calibri"/>
                <w:color w:val="000000"/>
                <w:sz w:val="18"/>
                <w:szCs w:val="18"/>
              </w:rPr>
              <w:t xml:space="preserve"> UL CA, </w:t>
            </w:r>
            <w:r w:rsidR="003C4C79" w:rsidRPr="003C4C79">
              <w:rPr>
                <w:rFonts w:ascii="Calibri" w:hAnsi="Calibri"/>
                <w:color w:val="FF0000"/>
                <w:sz w:val="18"/>
                <w:szCs w:val="18"/>
              </w:rPr>
              <w:t>but -30dBm/MHz IM5 is worse than -25dBm/MHz IM3</w:t>
            </w:r>
          </w:p>
        </w:tc>
      </w:tr>
      <w:tr w:rsidR="00660FD7" w:rsidRPr="00660FD7" w14:paraId="26A79487" w14:textId="77777777" w:rsidTr="00660FD7">
        <w:trPr>
          <w:trHeight w:val="288"/>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4C0CB529"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PC3 Non-</w:t>
            </w:r>
            <w:proofErr w:type="spellStart"/>
            <w:r w:rsidRPr="00660FD7">
              <w:rPr>
                <w:rFonts w:ascii="Calibri" w:hAnsi="Calibri"/>
                <w:color w:val="000000"/>
                <w:sz w:val="18"/>
                <w:szCs w:val="18"/>
              </w:rPr>
              <w:t>cont</w:t>
            </w:r>
            <w:proofErr w:type="spellEnd"/>
            <w:r w:rsidRPr="00660FD7">
              <w:rPr>
                <w:rFonts w:ascii="Calibri" w:hAnsi="Calibri"/>
                <w:color w:val="000000"/>
                <w:sz w:val="18"/>
                <w:szCs w:val="18"/>
              </w:rPr>
              <w:t xml:space="preserve"> UL CA</w:t>
            </w:r>
          </w:p>
        </w:tc>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8ED0AB"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3</w:t>
            </w:r>
          </w:p>
        </w:tc>
        <w:tc>
          <w:tcPr>
            <w:tcW w:w="630" w:type="dxa"/>
            <w:vMerge w:val="restart"/>
            <w:tcBorders>
              <w:top w:val="nil"/>
              <w:left w:val="single" w:sz="4" w:space="0" w:color="auto"/>
              <w:bottom w:val="single" w:sz="4" w:space="0" w:color="000000"/>
              <w:right w:val="single" w:sz="4" w:space="0" w:color="auto"/>
            </w:tcBorders>
            <w:shd w:val="clear" w:color="auto" w:fill="auto"/>
            <w:vAlign w:val="center"/>
            <w:hideMark/>
          </w:tcPr>
          <w:p w14:paraId="6BCBF8D4" w14:textId="77777777" w:rsid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2x</w:t>
            </w:r>
          </w:p>
          <w:p w14:paraId="67E803BD" w14:textId="0B15CDA3"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PC3 PA</w:t>
            </w:r>
          </w:p>
        </w:tc>
        <w:tc>
          <w:tcPr>
            <w:tcW w:w="720" w:type="dxa"/>
            <w:tcBorders>
              <w:top w:val="nil"/>
              <w:left w:val="nil"/>
              <w:bottom w:val="single" w:sz="4" w:space="0" w:color="auto"/>
              <w:right w:val="single" w:sz="4" w:space="0" w:color="auto"/>
            </w:tcBorders>
            <w:shd w:val="clear" w:color="auto" w:fill="auto"/>
            <w:noWrap/>
            <w:vAlign w:val="bottom"/>
            <w:hideMark/>
          </w:tcPr>
          <w:p w14:paraId="4AE45EC6"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01</w:t>
            </w:r>
          </w:p>
        </w:tc>
        <w:tc>
          <w:tcPr>
            <w:tcW w:w="1620" w:type="dxa"/>
            <w:tcBorders>
              <w:top w:val="nil"/>
              <w:left w:val="nil"/>
              <w:bottom w:val="single" w:sz="4" w:space="0" w:color="auto"/>
              <w:right w:val="single" w:sz="4" w:space="0" w:color="auto"/>
            </w:tcBorders>
            <w:shd w:val="clear" w:color="auto" w:fill="auto"/>
            <w:noWrap/>
            <w:vAlign w:val="bottom"/>
            <w:hideMark/>
          </w:tcPr>
          <w:p w14:paraId="3614A819"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-30dBm/MHz IM3</w:t>
            </w:r>
          </w:p>
        </w:tc>
        <w:tc>
          <w:tcPr>
            <w:tcW w:w="810" w:type="dxa"/>
            <w:tcBorders>
              <w:top w:val="nil"/>
              <w:left w:val="nil"/>
              <w:bottom w:val="single" w:sz="4" w:space="0" w:color="auto"/>
              <w:right w:val="single" w:sz="4" w:space="0" w:color="auto"/>
            </w:tcBorders>
            <w:shd w:val="clear" w:color="auto" w:fill="auto"/>
            <w:noWrap/>
            <w:vAlign w:val="bottom"/>
            <w:hideMark/>
          </w:tcPr>
          <w:p w14:paraId="51819C93" w14:textId="77777777" w:rsidR="00660FD7" w:rsidRPr="00660FD7" w:rsidRDefault="00660FD7" w:rsidP="00660FD7">
            <w:pPr>
              <w:overflowPunct/>
              <w:autoSpaceDE/>
              <w:autoSpaceDN/>
              <w:adjustRightInd/>
              <w:spacing w:after="0"/>
              <w:jc w:val="right"/>
              <w:textAlignment w:val="auto"/>
              <w:rPr>
                <w:rFonts w:ascii="Calibri" w:hAnsi="Calibri"/>
                <w:color w:val="FF0000"/>
                <w:sz w:val="18"/>
                <w:szCs w:val="18"/>
              </w:rPr>
            </w:pPr>
            <w:r w:rsidRPr="00660FD7">
              <w:rPr>
                <w:rFonts w:ascii="Calibri" w:hAnsi="Calibri"/>
                <w:color w:val="FF0000"/>
                <w:sz w:val="18"/>
                <w:szCs w:val="18"/>
              </w:rPr>
              <w:t>15</w:t>
            </w:r>
          </w:p>
        </w:tc>
        <w:tc>
          <w:tcPr>
            <w:tcW w:w="924" w:type="dxa"/>
            <w:vMerge w:val="restart"/>
            <w:tcBorders>
              <w:top w:val="nil"/>
              <w:left w:val="single" w:sz="4" w:space="0" w:color="auto"/>
              <w:bottom w:val="single" w:sz="4" w:space="0" w:color="auto"/>
              <w:right w:val="single" w:sz="4" w:space="0" w:color="auto"/>
            </w:tcBorders>
            <w:shd w:val="clear" w:color="auto" w:fill="auto"/>
            <w:vAlign w:val="bottom"/>
            <w:hideMark/>
          </w:tcPr>
          <w:p w14:paraId="746096E7"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R16</w:t>
            </w:r>
            <w:r w:rsidRPr="00660FD7">
              <w:rPr>
                <w:rFonts w:ascii="Calibri" w:hAnsi="Calibri"/>
                <w:color w:val="000000"/>
                <w:sz w:val="18"/>
                <w:szCs w:val="18"/>
              </w:rPr>
              <w:br/>
              <w:t>38.101-1</w:t>
            </w:r>
          </w:p>
        </w:tc>
        <w:tc>
          <w:tcPr>
            <w:tcW w:w="4031" w:type="dxa"/>
            <w:tcBorders>
              <w:top w:val="nil"/>
              <w:left w:val="nil"/>
              <w:bottom w:val="single" w:sz="4" w:space="0" w:color="auto"/>
              <w:right w:val="single" w:sz="4" w:space="0" w:color="auto"/>
            </w:tcBorders>
            <w:shd w:val="clear" w:color="auto" w:fill="auto"/>
            <w:vAlign w:val="bottom"/>
            <w:hideMark/>
          </w:tcPr>
          <w:p w14:paraId="388A2483" w14:textId="15224152" w:rsidR="00660FD7" w:rsidRPr="00660FD7" w:rsidRDefault="00660FD7" w:rsidP="003C4C79">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 xml:space="preserve">2PA 1dB worse than single PA </w:t>
            </w:r>
            <w:r w:rsidR="003C4C79">
              <w:rPr>
                <w:rFonts w:ascii="Calibri" w:hAnsi="Calibri"/>
                <w:color w:val="000000"/>
                <w:sz w:val="18"/>
                <w:szCs w:val="18"/>
              </w:rPr>
              <w:t>–</w:t>
            </w:r>
            <w:r w:rsidRPr="00660FD7">
              <w:rPr>
                <w:rFonts w:ascii="Calibri" w:hAnsi="Calibri"/>
                <w:color w:val="000000"/>
                <w:sz w:val="18"/>
                <w:szCs w:val="18"/>
              </w:rPr>
              <w:t xml:space="preserve"> </w:t>
            </w:r>
            <w:r w:rsidR="003C4C79">
              <w:rPr>
                <w:rFonts w:ascii="Calibri" w:hAnsi="Calibri"/>
                <w:color w:val="000000"/>
                <w:sz w:val="18"/>
                <w:szCs w:val="18"/>
              </w:rPr>
              <w:t>same as ENDC PC2?</w:t>
            </w:r>
          </w:p>
        </w:tc>
      </w:tr>
      <w:tr w:rsidR="00660FD7" w:rsidRPr="00660FD7" w14:paraId="4BB4FDB7" w14:textId="77777777" w:rsidTr="00660FD7">
        <w:trPr>
          <w:trHeight w:val="288"/>
        </w:trPr>
        <w:tc>
          <w:tcPr>
            <w:tcW w:w="735" w:type="dxa"/>
            <w:vMerge/>
            <w:tcBorders>
              <w:top w:val="nil"/>
              <w:left w:val="single" w:sz="4" w:space="0" w:color="auto"/>
              <w:bottom w:val="single" w:sz="4" w:space="0" w:color="auto"/>
              <w:right w:val="single" w:sz="4" w:space="0" w:color="auto"/>
            </w:tcBorders>
            <w:vAlign w:val="center"/>
            <w:hideMark/>
          </w:tcPr>
          <w:p w14:paraId="05F9B7D8"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50" w:type="dxa"/>
            <w:vMerge/>
            <w:tcBorders>
              <w:top w:val="nil"/>
              <w:left w:val="single" w:sz="4" w:space="0" w:color="auto"/>
              <w:bottom w:val="single" w:sz="4" w:space="0" w:color="000000"/>
              <w:right w:val="single" w:sz="4" w:space="0" w:color="auto"/>
            </w:tcBorders>
            <w:vAlign w:val="center"/>
            <w:hideMark/>
          </w:tcPr>
          <w:p w14:paraId="580E80CE"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630" w:type="dxa"/>
            <w:vMerge/>
            <w:tcBorders>
              <w:top w:val="nil"/>
              <w:left w:val="single" w:sz="4" w:space="0" w:color="auto"/>
              <w:bottom w:val="single" w:sz="4" w:space="0" w:color="000000"/>
              <w:right w:val="single" w:sz="4" w:space="0" w:color="auto"/>
            </w:tcBorders>
            <w:vAlign w:val="center"/>
            <w:hideMark/>
          </w:tcPr>
          <w:p w14:paraId="3F704689"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720" w:type="dxa"/>
            <w:tcBorders>
              <w:top w:val="nil"/>
              <w:left w:val="nil"/>
              <w:bottom w:val="single" w:sz="4" w:space="0" w:color="auto"/>
              <w:right w:val="single" w:sz="4" w:space="0" w:color="auto"/>
            </w:tcBorders>
            <w:shd w:val="clear" w:color="auto" w:fill="auto"/>
            <w:noWrap/>
            <w:vAlign w:val="bottom"/>
            <w:hideMark/>
          </w:tcPr>
          <w:p w14:paraId="514EDE98"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01-04</w:t>
            </w:r>
          </w:p>
        </w:tc>
        <w:tc>
          <w:tcPr>
            <w:tcW w:w="1620" w:type="dxa"/>
            <w:tcBorders>
              <w:top w:val="nil"/>
              <w:left w:val="nil"/>
              <w:bottom w:val="single" w:sz="4" w:space="0" w:color="auto"/>
              <w:right w:val="single" w:sz="4" w:space="0" w:color="auto"/>
            </w:tcBorders>
            <w:shd w:val="clear" w:color="auto" w:fill="auto"/>
            <w:noWrap/>
            <w:vAlign w:val="bottom"/>
            <w:hideMark/>
          </w:tcPr>
          <w:p w14:paraId="59BE4B7A"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-13dBm/MHz IM3</w:t>
            </w:r>
          </w:p>
        </w:tc>
        <w:tc>
          <w:tcPr>
            <w:tcW w:w="810" w:type="dxa"/>
            <w:tcBorders>
              <w:top w:val="nil"/>
              <w:left w:val="nil"/>
              <w:bottom w:val="single" w:sz="4" w:space="0" w:color="auto"/>
              <w:right w:val="single" w:sz="4" w:space="0" w:color="auto"/>
            </w:tcBorders>
            <w:shd w:val="clear" w:color="auto" w:fill="auto"/>
            <w:noWrap/>
            <w:vAlign w:val="bottom"/>
            <w:hideMark/>
          </w:tcPr>
          <w:p w14:paraId="7462747D" w14:textId="77777777" w:rsidR="00660FD7" w:rsidRPr="00660FD7" w:rsidRDefault="00660FD7" w:rsidP="00660FD7">
            <w:pPr>
              <w:overflowPunct/>
              <w:autoSpaceDE/>
              <w:autoSpaceDN/>
              <w:adjustRightInd/>
              <w:spacing w:after="0"/>
              <w:jc w:val="right"/>
              <w:textAlignment w:val="auto"/>
              <w:rPr>
                <w:rFonts w:ascii="Calibri" w:hAnsi="Calibri"/>
                <w:color w:val="FF0000"/>
                <w:sz w:val="18"/>
                <w:szCs w:val="18"/>
              </w:rPr>
            </w:pPr>
            <w:r w:rsidRPr="00660FD7">
              <w:rPr>
                <w:rFonts w:ascii="Calibri" w:hAnsi="Calibri"/>
                <w:color w:val="FF0000"/>
                <w:sz w:val="18"/>
                <w:szCs w:val="18"/>
              </w:rPr>
              <w:t>9</w:t>
            </w:r>
          </w:p>
        </w:tc>
        <w:tc>
          <w:tcPr>
            <w:tcW w:w="924" w:type="dxa"/>
            <w:vMerge/>
            <w:tcBorders>
              <w:top w:val="nil"/>
              <w:left w:val="single" w:sz="4" w:space="0" w:color="auto"/>
              <w:bottom w:val="single" w:sz="4" w:space="0" w:color="auto"/>
              <w:right w:val="single" w:sz="4" w:space="0" w:color="auto"/>
            </w:tcBorders>
            <w:vAlign w:val="center"/>
            <w:hideMark/>
          </w:tcPr>
          <w:p w14:paraId="001BD234"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031" w:type="dxa"/>
            <w:tcBorders>
              <w:top w:val="nil"/>
              <w:left w:val="nil"/>
              <w:bottom w:val="single" w:sz="4" w:space="0" w:color="auto"/>
              <w:right w:val="single" w:sz="4" w:space="0" w:color="auto"/>
            </w:tcBorders>
            <w:shd w:val="clear" w:color="auto" w:fill="auto"/>
            <w:vAlign w:val="bottom"/>
            <w:hideMark/>
          </w:tcPr>
          <w:p w14:paraId="465BD2DB" w14:textId="69F35E19"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 xml:space="preserve">2PA 2dB worse than single PA - </w:t>
            </w:r>
            <w:r w:rsidR="003C4C79">
              <w:rPr>
                <w:rFonts w:ascii="Calibri" w:hAnsi="Calibri"/>
                <w:color w:val="000000"/>
                <w:sz w:val="18"/>
                <w:szCs w:val="18"/>
              </w:rPr>
              <w:t>same as ENDC PC2?</w:t>
            </w:r>
          </w:p>
        </w:tc>
      </w:tr>
      <w:tr w:rsidR="00660FD7" w:rsidRPr="00660FD7" w14:paraId="370AB96F" w14:textId="77777777" w:rsidTr="003C4C79">
        <w:trPr>
          <w:trHeight w:val="58"/>
        </w:trPr>
        <w:tc>
          <w:tcPr>
            <w:tcW w:w="735" w:type="dxa"/>
            <w:vMerge/>
            <w:tcBorders>
              <w:top w:val="nil"/>
              <w:left w:val="single" w:sz="4" w:space="0" w:color="auto"/>
              <w:bottom w:val="single" w:sz="4" w:space="0" w:color="auto"/>
              <w:right w:val="single" w:sz="4" w:space="0" w:color="auto"/>
            </w:tcBorders>
            <w:vAlign w:val="center"/>
            <w:hideMark/>
          </w:tcPr>
          <w:p w14:paraId="79763BC1"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50" w:type="dxa"/>
            <w:vMerge/>
            <w:tcBorders>
              <w:top w:val="nil"/>
              <w:left w:val="single" w:sz="4" w:space="0" w:color="auto"/>
              <w:bottom w:val="single" w:sz="4" w:space="0" w:color="000000"/>
              <w:right w:val="single" w:sz="4" w:space="0" w:color="auto"/>
            </w:tcBorders>
            <w:vAlign w:val="center"/>
            <w:hideMark/>
          </w:tcPr>
          <w:p w14:paraId="47DF58FE"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630" w:type="dxa"/>
            <w:vMerge/>
            <w:tcBorders>
              <w:top w:val="nil"/>
              <w:left w:val="single" w:sz="4" w:space="0" w:color="auto"/>
              <w:bottom w:val="single" w:sz="4" w:space="0" w:color="000000"/>
              <w:right w:val="single" w:sz="4" w:space="0" w:color="auto"/>
            </w:tcBorders>
            <w:vAlign w:val="center"/>
            <w:hideMark/>
          </w:tcPr>
          <w:p w14:paraId="5E65E81B"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720" w:type="dxa"/>
            <w:tcBorders>
              <w:top w:val="nil"/>
              <w:left w:val="nil"/>
              <w:bottom w:val="single" w:sz="4" w:space="0" w:color="auto"/>
              <w:right w:val="single" w:sz="4" w:space="0" w:color="auto"/>
            </w:tcBorders>
            <w:shd w:val="clear" w:color="auto" w:fill="auto"/>
            <w:vAlign w:val="bottom"/>
            <w:hideMark/>
          </w:tcPr>
          <w:p w14:paraId="068639DD"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04</w:t>
            </w:r>
          </w:p>
        </w:tc>
        <w:tc>
          <w:tcPr>
            <w:tcW w:w="1620" w:type="dxa"/>
            <w:tcBorders>
              <w:top w:val="nil"/>
              <w:left w:val="nil"/>
              <w:bottom w:val="single" w:sz="4" w:space="0" w:color="auto"/>
              <w:right w:val="single" w:sz="4" w:space="0" w:color="auto"/>
            </w:tcBorders>
            <w:shd w:val="clear" w:color="auto" w:fill="auto"/>
            <w:vAlign w:val="bottom"/>
            <w:hideMark/>
          </w:tcPr>
          <w:p w14:paraId="666695E5"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-25dBm/MHz IM3</w:t>
            </w:r>
          </w:p>
        </w:tc>
        <w:tc>
          <w:tcPr>
            <w:tcW w:w="810" w:type="dxa"/>
            <w:tcBorders>
              <w:top w:val="nil"/>
              <w:left w:val="nil"/>
              <w:bottom w:val="single" w:sz="4" w:space="0" w:color="auto"/>
              <w:right w:val="single" w:sz="4" w:space="0" w:color="auto"/>
            </w:tcBorders>
            <w:shd w:val="clear" w:color="auto" w:fill="auto"/>
            <w:vAlign w:val="bottom"/>
            <w:hideMark/>
          </w:tcPr>
          <w:p w14:paraId="08915E64" w14:textId="5F1ABC6B" w:rsidR="00660FD7" w:rsidRPr="00660FD7" w:rsidRDefault="003C4C79" w:rsidP="00660FD7">
            <w:pPr>
              <w:overflowPunct/>
              <w:autoSpaceDE/>
              <w:autoSpaceDN/>
              <w:adjustRightInd/>
              <w:spacing w:after="0"/>
              <w:jc w:val="right"/>
              <w:textAlignment w:val="auto"/>
              <w:rPr>
                <w:rFonts w:ascii="Calibri" w:hAnsi="Calibri"/>
                <w:color w:val="000000"/>
                <w:sz w:val="18"/>
                <w:szCs w:val="18"/>
              </w:rPr>
            </w:pPr>
            <w:r>
              <w:rPr>
                <w:rFonts w:ascii="Calibri" w:hAnsi="Calibri"/>
                <w:color w:val="000000"/>
                <w:sz w:val="18"/>
                <w:szCs w:val="18"/>
              </w:rPr>
              <w:t>?</w:t>
            </w:r>
          </w:p>
        </w:tc>
        <w:tc>
          <w:tcPr>
            <w:tcW w:w="924" w:type="dxa"/>
            <w:vMerge/>
            <w:tcBorders>
              <w:top w:val="nil"/>
              <w:left w:val="single" w:sz="4" w:space="0" w:color="auto"/>
              <w:bottom w:val="single" w:sz="4" w:space="0" w:color="auto"/>
              <w:right w:val="single" w:sz="4" w:space="0" w:color="auto"/>
            </w:tcBorders>
            <w:vAlign w:val="center"/>
            <w:hideMark/>
          </w:tcPr>
          <w:p w14:paraId="4BDEE0E5"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031" w:type="dxa"/>
            <w:tcBorders>
              <w:top w:val="nil"/>
              <w:left w:val="nil"/>
              <w:bottom w:val="single" w:sz="4" w:space="0" w:color="auto"/>
              <w:right w:val="single" w:sz="4" w:space="0" w:color="auto"/>
            </w:tcBorders>
            <w:shd w:val="clear" w:color="auto" w:fill="auto"/>
            <w:vAlign w:val="bottom"/>
            <w:hideMark/>
          </w:tcPr>
          <w:p w14:paraId="40667E5E" w14:textId="1FBB4138"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Needs update as n41(2A) UL is specified</w:t>
            </w:r>
          </w:p>
        </w:tc>
      </w:tr>
      <w:tr w:rsidR="00660FD7" w:rsidRPr="00660FD7" w14:paraId="1151ACE5" w14:textId="77777777" w:rsidTr="00660FD7">
        <w:trPr>
          <w:trHeight w:val="288"/>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48E02FB7" w14:textId="77777777" w:rsid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PC2/</w:t>
            </w:r>
          </w:p>
          <w:p w14:paraId="3178B6A2" w14:textId="5B934A68"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PC1.5 NC ENDC</w:t>
            </w:r>
          </w:p>
        </w:tc>
        <w:tc>
          <w:tcPr>
            <w:tcW w:w="450" w:type="dxa"/>
            <w:vMerge w:val="restart"/>
            <w:tcBorders>
              <w:top w:val="nil"/>
              <w:left w:val="single" w:sz="4" w:space="0" w:color="auto"/>
              <w:bottom w:val="single" w:sz="4" w:space="0" w:color="000000"/>
              <w:right w:val="single" w:sz="4" w:space="0" w:color="auto"/>
            </w:tcBorders>
            <w:shd w:val="clear" w:color="auto" w:fill="auto"/>
            <w:vAlign w:val="center"/>
            <w:hideMark/>
          </w:tcPr>
          <w:p w14:paraId="7F03407C"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2/</w:t>
            </w:r>
            <w:r w:rsidRPr="00660FD7">
              <w:rPr>
                <w:rFonts w:ascii="Calibri" w:hAnsi="Calibri"/>
                <w:color w:val="000000"/>
                <w:sz w:val="18"/>
                <w:szCs w:val="18"/>
              </w:rPr>
              <w:br/>
              <w:t>1.5</w:t>
            </w:r>
          </w:p>
        </w:tc>
        <w:tc>
          <w:tcPr>
            <w:tcW w:w="630" w:type="dxa"/>
            <w:vMerge w:val="restart"/>
            <w:tcBorders>
              <w:top w:val="nil"/>
              <w:left w:val="single" w:sz="4" w:space="0" w:color="auto"/>
              <w:bottom w:val="single" w:sz="4" w:space="0" w:color="000000"/>
              <w:right w:val="single" w:sz="4" w:space="0" w:color="auto"/>
            </w:tcBorders>
            <w:shd w:val="clear" w:color="auto" w:fill="auto"/>
            <w:vAlign w:val="center"/>
            <w:hideMark/>
          </w:tcPr>
          <w:p w14:paraId="5E7E99FD" w14:textId="77777777" w:rsid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2x</w:t>
            </w:r>
          </w:p>
          <w:p w14:paraId="3ACDDADF" w14:textId="39E66C75"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PC2 PA</w:t>
            </w:r>
          </w:p>
        </w:tc>
        <w:tc>
          <w:tcPr>
            <w:tcW w:w="720" w:type="dxa"/>
            <w:tcBorders>
              <w:top w:val="nil"/>
              <w:left w:val="nil"/>
              <w:bottom w:val="single" w:sz="4" w:space="0" w:color="auto"/>
              <w:right w:val="single" w:sz="4" w:space="0" w:color="auto"/>
            </w:tcBorders>
            <w:shd w:val="clear" w:color="auto" w:fill="auto"/>
            <w:noWrap/>
            <w:vAlign w:val="bottom"/>
            <w:hideMark/>
          </w:tcPr>
          <w:p w14:paraId="06526060"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01</w:t>
            </w:r>
          </w:p>
        </w:tc>
        <w:tc>
          <w:tcPr>
            <w:tcW w:w="1620" w:type="dxa"/>
            <w:tcBorders>
              <w:top w:val="nil"/>
              <w:left w:val="nil"/>
              <w:bottom w:val="single" w:sz="4" w:space="0" w:color="auto"/>
              <w:right w:val="single" w:sz="4" w:space="0" w:color="auto"/>
            </w:tcBorders>
            <w:shd w:val="clear" w:color="auto" w:fill="auto"/>
            <w:noWrap/>
            <w:vAlign w:val="bottom"/>
            <w:hideMark/>
          </w:tcPr>
          <w:p w14:paraId="214801AB"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-30dBm/MHz IM3</w:t>
            </w:r>
          </w:p>
        </w:tc>
        <w:tc>
          <w:tcPr>
            <w:tcW w:w="810" w:type="dxa"/>
            <w:tcBorders>
              <w:top w:val="nil"/>
              <w:left w:val="nil"/>
              <w:bottom w:val="single" w:sz="4" w:space="0" w:color="auto"/>
              <w:right w:val="single" w:sz="4" w:space="0" w:color="auto"/>
            </w:tcBorders>
            <w:shd w:val="clear" w:color="auto" w:fill="auto"/>
            <w:noWrap/>
            <w:vAlign w:val="bottom"/>
            <w:hideMark/>
          </w:tcPr>
          <w:p w14:paraId="6274B8D6"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18*=15</w:t>
            </w:r>
          </w:p>
        </w:tc>
        <w:tc>
          <w:tcPr>
            <w:tcW w:w="924" w:type="dxa"/>
            <w:vMerge w:val="restart"/>
            <w:tcBorders>
              <w:top w:val="nil"/>
              <w:left w:val="single" w:sz="4" w:space="0" w:color="auto"/>
              <w:bottom w:val="single" w:sz="4" w:space="0" w:color="auto"/>
              <w:right w:val="single" w:sz="4" w:space="0" w:color="auto"/>
            </w:tcBorders>
            <w:shd w:val="clear" w:color="auto" w:fill="auto"/>
            <w:vAlign w:val="bottom"/>
            <w:hideMark/>
          </w:tcPr>
          <w:p w14:paraId="32E3E107"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R16</w:t>
            </w:r>
            <w:r w:rsidRPr="00660FD7">
              <w:rPr>
                <w:rFonts w:ascii="Calibri" w:hAnsi="Calibri"/>
                <w:color w:val="000000"/>
                <w:sz w:val="18"/>
                <w:szCs w:val="18"/>
              </w:rPr>
              <w:br/>
              <w:t>38.101-3</w:t>
            </w:r>
          </w:p>
        </w:tc>
        <w:tc>
          <w:tcPr>
            <w:tcW w:w="4031" w:type="dxa"/>
            <w:vMerge w:val="restart"/>
            <w:tcBorders>
              <w:top w:val="nil"/>
              <w:left w:val="single" w:sz="4" w:space="0" w:color="auto"/>
              <w:bottom w:val="single" w:sz="4" w:space="0" w:color="auto"/>
              <w:right w:val="single" w:sz="4" w:space="0" w:color="auto"/>
            </w:tcBorders>
            <w:shd w:val="clear" w:color="auto" w:fill="auto"/>
            <w:hideMark/>
          </w:tcPr>
          <w:p w14:paraId="6B3CA9F9" w14:textId="6DC1CDD8"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*the A-MPR is corrected by 3dB to account for the different reference for back</w:t>
            </w:r>
            <w:r w:rsidR="003C4C79">
              <w:rPr>
                <w:rFonts w:ascii="Calibri" w:hAnsi="Calibri"/>
                <w:color w:val="000000"/>
                <w:sz w:val="18"/>
                <w:szCs w:val="18"/>
              </w:rPr>
              <w:t>-</w:t>
            </w:r>
            <w:r w:rsidRPr="00660FD7">
              <w:rPr>
                <w:rFonts w:ascii="Calibri" w:hAnsi="Calibri"/>
                <w:color w:val="000000"/>
                <w:sz w:val="18"/>
                <w:szCs w:val="18"/>
              </w:rPr>
              <w:t>off.</w:t>
            </w:r>
            <w:r w:rsidR="003C4C79">
              <w:rPr>
                <w:rFonts w:ascii="Calibri" w:hAnsi="Calibri"/>
                <w:color w:val="000000"/>
                <w:sz w:val="18"/>
                <w:szCs w:val="18"/>
              </w:rPr>
              <w:t xml:space="preserve"> </w:t>
            </w:r>
          </w:p>
        </w:tc>
      </w:tr>
      <w:tr w:rsidR="00660FD7" w:rsidRPr="00660FD7" w14:paraId="2228B82C" w14:textId="77777777" w:rsidTr="00660FD7">
        <w:trPr>
          <w:trHeight w:val="288"/>
        </w:trPr>
        <w:tc>
          <w:tcPr>
            <w:tcW w:w="735" w:type="dxa"/>
            <w:vMerge/>
            <w:tcBorders>
              <w:top w:val="nil"/>
              <w:left w:val="single" w:sz="4" w:space="0" w:color="auto"/>
              <w:bottom w:val="single" w:sz="4" w:space="0" w:color="auto"/>
              <w:right w:val="single" w:sz="4" w:space="0" w:color="auto"/>
            </w:tcBorders>
            <w:vAlign w:val="center"/>
            <w:hideMark/>
          </w:tcPr>
          <w:p w14:paraId="0562955A"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50" w:type="dxa"/>
            <w:vMerge/>
            <w:tcBorders>
              <w:top w:val="nil"/>
              <w:left w:val="single" w:sz="4" w:space="0" w:color="auto"/>
              <w:bottom w:val="single" w:sz="4" w:space="0" w:color="000000"/>
              <w:right w:val="single" w:sz="4" w:space="0" w:color="auto"/>
            </w:tcBorders>
            <w:vAlign w:val="center"/>
            <w:hideMark/>
          </w:tcPr>
          <w:p w14:paraId="32084E1A"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630" w:type="dxa"/>
            <w:vMerge/>
            <w:tcBorders>
              <w:top w:val="nil"/>
              <w:left w:val="single" w:sz="4" w:space="0" w:color="auto"/>
              <w:bottom w:val="single" w:sz="4" w:space="0" w:color="000000"/>
              <w:right w:val="single" w:sz="4" w:space="0" w:color="auto"/>
            </w:tcBorders>
            <w:vAlign w:val="center"/>
            <w:hideMark/>
          </w:tcPr>
          <w:p w14:paraId="03A8FBF6"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720" w:type="dxa"/>
            <w:tcBorders>
              <w:top w:val="nil"/>
              <w:left w:val="nil"/>
              <w:bottom w:val="single" w:sz="4" w:space="0" w:color="auto"/>
              <w:right w:val="single" w:sz="4" w:space="0" w:color="auto"/>
            </w:tcBorders>
            <w:shd w:val="clear" w:color="auto" w:fill="auto"/>
            <w:noWrap/>
            <w:vAlign w:val="bottom"/>
            <w:hideMark/>
          </w:tcPr>
          <w:p w14:paraId="04D6CEE8"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01-04</w:t>
            </w:r>
          </w:p>
        </w:tc>
        <w:tc>
          <w:tcPr>
            <w:tcW w:w="1620" w:type="dxa"/>
            <w:tcBorders>
              <w:top w:val="nil"/>
              <w:left w:val="nil"/>
              <w:bottom w:val="single" w:sz="4" w:space="0" w:color="auto"/>
              <w:right w:val="single" w:sz="4" w:space="0" w:color="auto"/>
            </w:tcBorders>
            <w:shd w:val="clear" w:color="auto" w:fill="auto"/>
            <w:noWrap/>
            <w:vAlign w:val="bottom"/>
            <w:hideMark/>
          </w:tcPr>
          <w:p w14:paraId="3FCC5925"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-13dBm/MHz IM3</w:t>
            </w:r>
          </w:p>
        </w:tc>
        <w:tc>
          <w:tcPr>
            <w:tcW w:w="810" w:type="dxa"/>
            <w:tcBorders>
              <w:top w:val="nil"/>
              <w:left w:val="nil"/>
              <w:bottom w:val="single" w:sz="4" w:space="0" w:color="auto"/>
              <w:right w:val="single" w:sz="4" w:space="0" w:color="auto"/>
            </w:tcBorders>
            <w:shd w:val="clear" w:color="auto" w:fill="auto"/>
            <w:noWrap/>
            <w:vAlign w:val="bottom"/>
            <w:hideMark/>
          </w:tcPr>
          <w:p w14:paraId="1D84C97E"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12*=9</w:t>
            </w:r>
          </w:p>
        </w:tc>
        <w:tc>
          <w:tcPr>
            <w:tcW w:w="924" w:type="dxa"/>
            <w:vMerge/>
            <w:tcBorders>
              <w:top w:val="nil"/>
              <w:left w:val="single" w:sz="4" w:space="0" w:color="auto"/>
              <w:bottom w:val="single" w:sz="4" w:space="0" w:color="auto"/>
              <w:right w:val="single" w:sz="4" w:space="0" w:color="auto"/>
            </w:tcBorders>
            <w:vAlign w:val="center"/>
            <w:hideMark/>
          </w:tcPr>
          <w:p w14:paraId="0A32B394"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031" w:type="dxa"/>
            <w:vMerge/>
            <w:tcBorders>
              <w:top w:val="nil"/>
              <w:left w:val="single" w:sz="4" w:space="0" w:color="auto"/>
              <w:bottom w:val="single" w:sz="4" w:space="0" w:color="auto"/>
              <w:right w:val="single" w:sz="4" w:space="0" w:color="auto"/>
            </w:tcBorders>
            <w:vAlign w:val="center"/>
            <w:hideMark/>
          </w:tcPr>
          <w:p w14:paraId="561FEF35"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r>
      <w:tr w:rsidR="00660FD7" w:rsidRPr="00660FD7" w14:paraId="743C5C3D" w14:textId="77777777" w:rsidTr="00660FD7">
        <w:trPr>
          <w:trHeight w:val="288"/>
        </w:trPr>
        <w:tc>
          <w:tcPr>
            <w:tcW w:w="735" w:type="dxa"/>
            <w:vMerge/>
            <w:tcBorders>
              <w:top w:val="nil"/>
              <w:left w:val="single" w:sz="4" w:space="0" w:color="auto"/>
              <w:bottom w:val="single" w:sz="4" w:space="0" w:color="auto"/>
              <w:right w:val="single" w:sz="4" w:space="0" w:color="auto"/>
            </w:tcBorders>
            <w:vAlign w:val="center"/>
            <w:hideMark/>
          </w:tcPr>
          <w:p w14:paraId="0F2E2363"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50" w:type="dxa"/>
            <w:vMerge/>
            <w:tcBorders>
              <w:top w:val="nil"/>
              <w:left w:val="single" w:sz="4" w:space="0" w:color="auto"/>
              <w:bottom w:val="single" w:sz="4" w:space="0" w:color="000000"/>
              <w:right w:val="single" w:sz="4" w:space="0" w:color="auto"/>
            </w:tcBorders>
            <w:vAlign w:val="center"/>
            <w:hideMark/>
          </w:tcPr>
          <w:p w14:paraId="781057AA"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630" w:type="dxa"/>
            <w:vMerge/>
            <w:tcBorders>
              <w:top w:val="nil"/>
              <w:left w:val="single" w:sz="4" w:space="0" w:color="auto"/>
              <w:bottom w:val="single" w:sz="4" w:space="0" w:color="000000"/>
              <w:right w:val="single" w:sz="4" w:space="0" w:color="auto"/>
            </w:tcBorders>
            <w:vAlign w:val="center"/>
            <w:hideMark/>
          </w:tcPr>
          <w:p w14:paraId="260018A2"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720" w:type="dxa"/>
            <w:tcBorders>
              <w:top w:val="nil"/>
              <w:left w:val="nil"/>
              <w:bottom w:val="single" w:sz="4" w:space="0" w:color="auto"/>
              <w:right w:val="single" w:sz="4" w:space="0" w:color="auto"/>
            </w:tcBorders>
            <w:shd w:val="clear" w:color="auto" w:fill="auto"/>
            <w:noWrap/>
            <w:vAlign w:val="bottom"/>
            <w:hideMark/>
          </w:tcPr>
          <w:p w14:paraId="6CBDCCB3"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04</w:t>
            </w:r>
          </w:p>
        </w:tc>
        <w:tc>
          <w:tcPr>
            <w:tcW w:w="1620" w:type="dxa"/>
            <w:tcBorders>
              <w:top w:val="nil"/>
              <w:left w:val="nil"/>
              <w:bottom w:val="single" w:sz="4" w:space="0" w:color="auto"/>
              <w:right w:val="single" w:sz="4" w:space="0" w:color="auto"/>
            </w:tcBorders>
            <w:shd w:val="clear" w:color="auto" w:fill="auto"/>
            <w:noWrap/>
            <w:vAlign w:val="bottom"/>
            <w:hideMark/>
          </w:tcPr>
          <w:p w14:paraId="4862E4AA"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-25dBm/MHz IM3</w:t>
            </w:r>
          </w:p>
        </w:tc>
        <w:tc>
          <w:tcPr>
            <w:tcW w:w="810" w:type="dxa"/>
            <w:tcBorders>
              <w:top w:val="nil"/>
              <w:left w:val="nil"/>
              <w:bottom w:val="single" w:sz="4" w:space="0" w:color="auto"/>
              <w:right w:val="single" w:sz="4" w:space="0" w:color="auto"/>
            </w:tcBorders>
            <w:shd w:val="clear" w:color="auto" w:fill="auto"/>
            <w:noWrap/>
            <w:vAlign w:val="bottom"/>
            <w:hideMark/>
          </w:tcPr>
          <w:p w14:paraId="14EB2E7E"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15*=12</w:t>
            </w:r>
          </w:p>
        </w:tc>
        <w:tc>
          <w:tcPr>
            <w:tcW w:w="924" w:type="dxa"/>
            <w:vMerge/>
            <w:tcBorders>
              <w:top w:val="nil"/>
              <w:left w:val="single" w:sz="4" w:space="0" w:color="auto"/>
              <w:bottom w:val="single" w:sz="4" w:space="0" w:color="auto"/>
              <w:right w:val="single" w:sz="4" w:space="0" w:color="auto"/>
            </w:tcBorders>
            <w:vAlign w:val="center"/>
            <w:hideMark/>
          </w:tcPr>
          <w:p w14:paraId="1D635E5C"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031" w:type="dxa"/>
            <w:vMerge/>
            <w:tcBorders>
              <w:top w:val="nil"/>
              <w:left w:val="single" w:sz="4" w:space="0" w:color="auto"/>
              <w:bottom w:val="single" w:sz="4" w:space="0" w:color="auto"/>
              <w:right w:val="single" w:sz="4" w:space="0" w:color="auto"/>
            </w:tcBorders>
            <w:vAlign w:val="center"/>
            <w:hideMark/>
          </w:tcPr>
          <w:p w14:paraId="0827A6F3"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r>
      <w:tr w:rsidR="00660FD7" w:rsidRPr="00660FD7" w14:paraId="7F95CF72" w14:textId="77777777" w:rsidTr="00660FD7">
        <w:trPr>
          <w:trHeight w:val="288"/>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2419B1DA" w14:textId="08C8CE37" w:rsidR="00660FD7" w:rsidRDefault="00660FD7" w:rsidP="00660FD7">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PC2</w:t>
            </w:r>
          </w:p>
          <w:p w14:paraId="4AAB978E" w14:textId="0AE8E805"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proofErr w:type="spellStart"/>
            <w:r w:rsidRPr="00660FD7">
              <w:rPr>
                <w:rFonts w:ascii="Calibri" w:hAnsi="Calibri"/>
                <w:color w:val="000000"/>
                <w:sz w:val="18"/>
                <w:szCs w:val="18"/>
              </w:rPr>
              <w:t>Cont</w:t>
            </w:r>
            <w:proofErr w:type="spellEnd"/>
            <w:r w:rsidRPr="00660FD7">
              <w:rPr>
                <w:rFonts w:ascii="Calibri" w:hAnsi="Calibri"/>
                <w:color w:val="000000"/>
                <w:sz w:val="18"/>
                <w:szCs w:val="18"/>
              </w:rPr>
              <w:t xml:space="preserve"> UL CA</w:t>
            </w:r>
          </w:p>
        </w:tc>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E2051E"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2</w:t>
            </w:r>
          </w:p>
        </w:tc>
        <w:tc>
          <w:tcPr>
            <w:tcW w:w="630" w:type="dxa"/>
            <w:vMerge w:val="restart"/>
            <w:tcBorders>
              <w:top w:val="nil"/>
              <w:left w:val="single" w:sz="4" w:space="0" w:color="auto"/>
              <w:bottom w:val="single" w:sz="4" w:space="0" w:color="000000"/>
              <w:right w:val="single" w:sz="4" w:space="0" w:color="auto"/>
            </w:tcBorders>
            <w:shd w:val="clear" w:color="auto" w:fill="auto"/>
            <w:vAlign w:val="center"/>
            <w:hideMark/>
          </w:tcPr>
          <w:p w14:paraId="57DB8D68" w14:textId="77777777" w:rsid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1x</w:t>
            </w:r>
          </w:p>
          <w:p w14:paraId="00EB2446" w14:textId="1CCCC4DF"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PC2 PA</w:t>
            </w:r>
          </w:p>
        </w:tc>
        <w:tc>
          <w:tcPr>
            <w:tcW w:w="720" w:type="dxa"/>
            <w:tcBorders>
              <w:top w:val="nil"/>
              <w:left w:val="nil"/>
              <w:bottom w:val="single" w:sz="4" w:space="0" w:color="auto"/>
              <w:right w:val="single" w:sz="4" w:space="0" w:color="auto"/>
            </w:tcBorders>
            <w:shd w:val="clear" w:color="auto" w:fill="auto"/>
            <w:noWrap/>
            <w:vAlign w:val="bottom"/>
            <w:hideMark/>
          </w:tcPr>
          <w:p w14:paraId="57DB32C6"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01</w:t>
            </w:r>
          </w:p>
        </w:tc>
        <w:tc>
          <w:tcPr>
            <w:tcW w:w="1620" w:type="dxa"/>
            <w:tcBorders>
              <w:top w:val="nil"/>
              <w:left w:val="nil"/>
              <w:bottom w:val="single" w:sz="4" w:space="0" w:color="auto"/>
              <w:right w:val="single" w:sz="4" w:space="0" w:color="auto"/>
            </w:tcBorders>
            <w:shd w:val="clear" w:color="auto" w:fill="auto"/>
            <w:noWrap/>
            <w:vAlign w:val="bottom"/>
            <w:hideMark/>
          </w:tcPr>
          <w:p w14:paraId="0F37A941"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-30dBm/MHz IM5</w:t>
            </w:r>
          </w:p>
        </w:tc>
        <w:tc>
          <w:tcPr>
            <w:tcW w:w="810" w:type="dxa"/>
            <w:tcBorders>
              <w:top w:val="nil"/>
              <w:left w:val="nil"/>
              <w:bottom w:val="single" w:sz="4" w:space="0" w:color="auto"/>
              <w:right w:val="single" w:sz="4" w:space="0" w:color="auto"/>
            </w:tcBorders>
            <w:shd w:val="clear" w:color="auto" w:fill="auto"/>
            <w:noWrap/>
            <w:vAlign w:val="bottom"/>
            <w:hideMark/>
          </w:tcPr>
          <w:p w14:paraId="6564E0F4" w14:textId="77777777" w:rsidR="00660FD7" w:rsidRPr="00660FD7" w:rsidRDefault="00660FD7" w:rsidP="00660FD7">
            <w:pPr>
              <w:overflowPunct/>
              <w:autoSpaceDE/>
              <w:autoSpaceDN/>
              <w:adjustRightInd/>
              <w:spacing w:after="0"/>
              <w:jc w:val="right"/>
              <w:textAlignment w:val="auto"/>
              <w:rPr>
                <w:rFonts w:ascii="Calibri" w:hAnsi="Calibri"/>
                <w:color w:val="000000"/>
                <w:sz w:val="18"/>
                <w:szCs w:val="18"/>
              </w:rPr>
            </w:pPr>
            <w:r w:rsidRPr="00660FD7">
              <w:rPr>
                <w:rFonts w:ascii="Calibri" w:hAnsi="Calibri"/>
                <w:color w:val="000000"/>
                <w:sz w:val="18"/>
                <w:szCs w:val="18"/>
              </w:rPr>
              <w:t>14</w:t>
            </w:r>
          </w:p>
        </w:tc>
        <w:tc>
          <w:tcPr>
            <w:tcW w:w="924" w:type="dxa"/>
            <w:vMerge w:val="restart"/>
            <w:tcBorders>
              <w:top w:val="nil"/>
              <w:left w:val="single" w:sz="4" w:space="0" w:color="auto"/>
              <w:bottom w:val="single" w:sz="4" w:space="0" w:color="auto"/>
              <w:right w:val="single" w:sz="4" w:space="0" w:color="auto"/>
            </w:tcBorders>
            <w:shd w:val="clear" w:color="auto" w:fill="auto"/>
            <w:vAlign w:val="bottom"/>
            <w:hideMark/>
          </w:tcPr>
          <w:p w14:paraId="6A16CF46"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 xml:space="preserve">R4-2100544 </w:t>
            </w:r>
          </w:p>
        </w:tc>
        <w:tc>
          <w:tcPr>
            <w:tcW w:w="4031" w:type="dxa"/>
            <w:vMerge w:val="restart"/>
            <w:tcBorders>
              <w:top w:val="nil"/>
              <w:left w:val="single" w:sz="4" w:space="0" w:color="auto"/>
              <w:bottom w:val="single" w:sz="4" w:space="0" w:color="auto"/>
              <w:right w:val="single" w:sz="4" w:space="0" w:color="auto"/>
            </w:tcBorders>
            <w:shd w:val="clear" w:color="auto" w:fill="auto"/>
            <w:hideMark/>
          </w:tcPr>
          <w:p w14:paraId="77A1933E" w14:textId="77777777" w:rsidR="00660FD7" w:rsidRDefault="00660FD7" w:rsidP="00660FD7">
            <w:pPr>
              <w:overflowPunct/>
              <w:autoSpaceDE/>
              <w:autoSpaceDN/>
              <w:adjustRightInd/>
              <w:spacing w:after="0"/>
              <w:textAlignment w:val="auto"/>
              <w:rPr>
                <w:rFonts w:ascii="Calibri" w:hAnsi="Calibri"/>
                <w:color w:val="000000"/>
                <w:sz w:val="18"/>
                <w:szCs w:val="18"/>
              </w:rPr>
            </w:pPr>
            <w:r>
              <w:rPr>
                <w:rFonts w:ascii="Calibri" w:hAnsi="Calibri"/>
                <w:color w:val="000000"/>
                <w:sz w:val="18"/>
                <w:szCs w:val="18"/>
              </w:rPr>
              <w:t>I</w:t>
            </w:r>
            <w:r w:rsidRPr="00660FD7">
              <w:rPr>
                <w:rFonts w:ascii="Calibri" w:hAnsi="Calibri"/>
                <w:color w:val="000000"/>
                <w:sz w:val="18"/>
                <w:szCs w:val="18"/>
              </w:rPr>
              <w:t>MD3 at -25dBm requires higher back-off than IMD5 at -30dBm which is logical</w:t>
            </w:r>
          </w:p>
          <w:p w14:paraId="081A9A15" w14:textId="1E17076D" w:rsidR="00660FD7" w:rsidRPr="00660FD7" w:rsidRDefault="00660FD7" w:rsidP="00660FD7">
            <w:pPr>
              <w:overflowPunct/>
              <w:autoSpaceDE/>
              <w:autoSpaceDN/>
              <w:adjustRightInd/>
              <w:spacing w:after="0"/>
              <w:textAlignment w:val="auto"/>
              <w:rPr>
                <w:rFonts w:ascii="Calibri" w:hAnsi="Calibri"/>
                <w:color w:val="000000"/>
                <w:sz w:val="18"/>
                <w:szCs w:val="18"/>
              </w:rPr>
            </w:pPr>
            <w:r>
              <w:rPr>
                <w:rFonts w:ascii="Calibri" w:hAnsi="Calibri"/>
                <w:color w:val="000000"/>
                <w:sz w:val="18"/>
                <w:szCs w:val="18"/>
              </w:rPr>
              <w:t>Results for PC2 are OK for PC3 MPR where A-MPR needs 1.5dB difference</w:t>
            </w:r>
          </w:p>
        </w:tc>
      </w:tr>
      <w:tr w:rsidR="00660FD7" w:rsidRPr="00660FD7" w14:paraId="1C0FDC83" w14:textId="77777777" w:rsidTr="00660FD7">
        <w:trPr>
          <w:trHeight w:val="288"/>
        </w:trPr>
        <w:tc>
          <w:tcPr>
            <w:tcW w:w="735" w:type="dxa"/>
            <w:vMerge/>
            <w:tcBorders>
              <w:top w:val="nil"/>
              <w:left w:val="single" w:sz="4" w:space="0" w:color="auto"/>
              <w:bottom w:val="single" w:sz="4" w:space="0" w:color="auto"/>
              <w:right w:val="single" w:sz="4" w:space="0" w:color="auto"/>
            </w:tcBorders>
            <w:vAlign w:val="center"/>
            <w:hideMark/>
          </w:tcPr>
          <w:p w14:paraId="314454FB"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50" w:type="dxa"/>
            <w:vMerge/>
            <w:tcBorders>
              <w:top w:val="nil"/>
              <w:left w:val="single" w:sz="4" w:space="0" w:color="auto"/>
              <w:bottom w:val="single" w:sz="4" w:space="0" w:color="000000"/>
              <w:right w:val="single" w:sz="4" w:space="0" w:color="auto"/>
            </w:tcBorders>
            <w:vAlign w:val="center"/>
            <w:hideMark/>
          </w:tcPr>
          <w:p w14:paraId="257CF1BC"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630" w:type="dxa"/>
            <w:vMerge/>
            <w:tcBorders>
              <w:top w:val="nil"/>
              <w:left w:val="single" w:sz="4" w:space="0" w:color="auto"/>
              <w:bottom w:val="single" w:sz="4" w:space="0" w:color="000000"/>
              <w:right w:val="single" w:sz="4" w:space="0" w:color="auto"/>
            </w:tcBorders>
            <w:vAlign w:val="center"/>
            <w:hideMark/>
          </w:tcPr>
          <w:p w14:paraId="455276E3"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720" w:type="dxa"/>
            <w:tcBorders>
              <w:top w:val="nil"/>
              <w:left w:val="nil"/>
              <w:bottom w:val="single" w:sz="4" w:space="0" w:color="auto"/>
              <w:right w:val="single" w:sz="4" w:space="0" w:color="auto"/>
            </w:tcBorders>
            <w:shd w:val="clear" w:color="auto" w:fill="auto"/>
            <w:noWrap/>
            <w:vAlign w:val="bottom"/>
            <w:hideMark/>
          </w:tcPr>
          <w:p w14:paraId="07A7C825"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01-04</w:t>
            </w:r>
          </w:p>
        </w:tc>
        <w:tc>
          <w:tcPr>
            <w:tcW w:w="1620" w:type="dxa"/>
            <w:tcBorders>
              <w:top w:val="nil"/>
              <w:left w:val="nil"/>
              <w:bottom w:val="single" w:sz="4" w:space="0" w:color="auto"/>
              <w:right w:val="single" w:sz="4" w:space="0" w:color="auto"/>
            </w:tcBorders>
            <w:shd w:val="clear" w:color="auto" w:fill="auto"/>
            <w:noWrap/>
            <w:vAlign w:val="bottom"/>
            <w:hideMark/>
          </w:tcPr>
          <w:p w14:paraId="4AB5F993"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-13dBm/MHz IM3</w:t>
            </w:r>
          </w:p>
        </w:tc>
        <w:tc>
          <w:tcPr>
            <w:tcW w:w="810" w:type="dxa"/>
            <w:tcBorders>
              <w:top w:val="nil"/>
              <w:left w:val="nil"/>
              <w:bottom w:val="single" w:sz="4" w:space="0" w:color="auto"/>
              <w:right w:val="single" w:sz="4" w:space="0" w:color="auto"/>
            </w:tcBorders>
            <w:shd w:val="clear" w:color="auto" w:fill="auto"/>
            <w:noWrap/>
            <w:vAlign w:val="bottom"/>
            <w:hideMark/>
          </w:tcPr>
          <w:p w14:paraId="423456D7" w14:textId="77777777" w:rsidR="00660FD7" w:rsidRPr="00660FD7" w:rsidRDefault="00660FD7" w:rsidP="00660FD7">
            <w:pPr>
              <w:overflowPunct/>
              <w:autoSpaceDE/>
              <w:autoSpaceDN/>
              <w:adjustRightInd/>
              <w:spacing w:after="0"/>
              <w:jc w:val="right"/>
              <w:textAlignment w:val="auto"/>
              <w:rPr>
                <w:rFonts w:ascii="Calibri" w:hAnsi="Calibri"/>
                <w:color w:val="000000"/>
                <w:sz w:val="18"/>
                <w:szCs w:val="18"/>
              </w:rPr>
            </w:pPr>
            <w:r w:rsidRPr="00660FD7">
              <w:rPr>
                <w:rFonts w:ascii="Calibri" w:hAnsi="Calibri"/>
                <w:color w:val="000000"/>
                <w:sz w:val="18"/>
                <w:szCs w:val="18"/>
              </w:rPr>
              <w:t>7</w:t>
            </w:r>
          </w:p>
        </w:tc>
        <w:tc>
          <w:tcPr>
            <w:tcW w:w="924" w:type="dxa"/>
            <w:vMerge/>
            <w:tcBorders>
              <w:top w:val="nil"/>
              <w:left w:val="single" w:sz="4" w:space="0" w:color="auto"/>
              <w:bottom w:val="single" w:sz="4" w:space="0" w:color="auto"/>
              <w:right w:val="single" w:sz="4" w:space="0" w:color="auto"/>
            </w:tcBorders>
            <w:vAlign w:val="center"/>
            <w:hideMark/>
          </w:tcPr>
          <w:p w14:paraId="6CF45929"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031" w:type="dxa"/>
            <w:vMerge/>
            <w:tcBorders>
              <w:top w:val="nil"/>
              <w:left w:val="single" w:sz="4" w:space="0" w:color="auto"/>
              <w:bottom w:val="single" w:sz="4" w:space="0" w:color="auto"/>
              <w:right w:val="single" w:sz="4" w:space="0" w:color="auto"/>
            </w:tcBorders>
            <w:vAlign w:val="center"/>
            <w:hideMark/>
          </w:tcPr>
          <w:p w14:paraId="750D58AD"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r>
      <w:tr w:rsidR="00660FD7" w:rsidRPr="00660FD7" w14:paraId="78ABBB9F" w14:textId="77777777" w:rsidTr="00660FD7">
        <w:trPr>
          <w:trHeight w:val="288"/>
        </w:trPr>
        <w:tc>
          <w:tcPr>
            <w:tcW w:w="735" w:type="dxa"/>
            <w:vMerge/>
            <w:tcBorders>
              <w:top w:val="nil"/>
              <w:left w:val="single" w:sz="4" w:space="0" w:color="auto"/>
              <w:bottom w:val="single" w:sz="4" w:space="0" w:color="auto"/>
              <w:right w:val="single" w:sz="4" w:space="0" w:color="auto"/>
            </w:tcBorders>
            <w:vAlign w:val="center"/>
            <w:hideMark/>
          </w:tcPr>
          <w:p w14:paraId="278B4437"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50" w:type="dxa"/>
            <w:vMerge/>
            <w:tcBorders>
              <w:top w:val="nil"/>
              <w:left w:val="single" w:sz="4" w:space="0" w:color="auto"/>
              <w:bottom w:val="single" w:sz="4" w:space="0" w:color="000000"/>
              <w:right w:val="single" w:sz="4" w:space="0" w:color="auto"/>
            </w:tcBorders>
            <w:vAlign w:val="center"/>
            <w:hideMark/>
          </w:tcPr>
          <w:p w14:paraId="24C4B56B"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630" w:type="dxa"/>
            <w:vMerge/>
            <w:tcBorders>
              <w:top w:val="nil"/>
              <w:left w:val="single" w:sz="4" w:space="0" w:color="auto"/>
              <w:bottom w:val="single" w:sz="4" w:space="0" w:color="000000"/>
              <w:right w:val="single" w:sz="4" w:space="0" w:color="auto"/>
            </w:tcBorders>
            <w:vAlign w:val="center"/>
            <w:hideMark/>
          </w:tcPr>
          <w:p w14:paraId="29708FA2"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720" w:type="dxa"/>
            <w:tcBorders>
              <w:top w:val="nil"/>
              <w:left w:val="nil"/>
              <w:bottom w:val="single" w:sz="4" w:space="0" w:color="auto"/>
              <w:right w:val="single" w:sz="4" w:space="0" w:color="auto"/>
            </w:tcBorders>
            <w:shd w:val="clear" w:color="auto" w:fill="auto"/>
            <w:noWrap/>
            <w:vAlign w:val="bottom"/>
            <w:hideMark/>
          </w:tcPr>
          <w:p w14:paraId="5E42F172"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04</w:t>
            </w:r>
          </w:p>
        </w:tc>
        <w:tc>
          <w:tcPr>
            <w:tcW w:w="1620" w:type="dxa"/>
            <w:tcBorders>
              <w:top w:val="nil"/>
              <w:left w:val="nil"/>
              <w:bottom w:val="single" w:sz="4" w:space="0" w:color="auto"/>
              <w:right w:val="single" w:sz="4" w:space="0" w:color="auto"/>
            </w:tcBorders>
            <w:shd w:val="clear" w:color="auto" w:fill="auto"/>
            <w:noWrap/>
            <w:vAlign w:val="bottom"/>
            <w:hideMark/>
          </w:tcPr>
          <w:p w14:paraId="49359A13"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-25dBm/MHz IM3</w:t>
            </w:r>
          </w:p>
        </w:tc>
        <w:tc>
          <w:tcPr>
            <w:tcW w:w="810" w:type="dxa"/>
            <w:tcBorders>
              <w:top w:val="nil"/>
              <w:left w:val="nil"/>
              <w:bottom w:val="single" w:sz="4" w:space="0" w:color="auto"/>
              <w:right w:val="single" w:sz="4" w:space="0" w:color="auto"/>
            </w:tcBorders>
            <w:shd w:val="clear" w:color="auto" w:fill="auto"/>
            <w:noWrap/>
            <w:vAlign w:val="bottom"/>
            <w:hideMark/>
          </w:tcPr>
          <w:p w14:paraId="2864A7D1" w14:textId="77777777" w:rsidR="00660FD7" w:rsidRPr="00660FD7" w:rsidRDefault="00660FD7" w:rsidP="00660FD7">
            <w:pPr>
              <w:overflowPunct/>
              <w:autoSpaceDE/>
              <w:autoSpaceDN/>
              <w:adjustRightInd/>
              <w:spacing w:after="0"/>
              <w:jc w:val="right"/>
              <w:textAlignment w:val="auto"/>
              <w:rPr>
                <w:rFonts w:ascii="Calibri" w:hAnsi="Calibri"/>
                <w:color w:val="000000"/>
                <w:sz w:val="18"/>
                <w:szCs w:val="18"/>
              </w:rPr>
            </w:pPr>
            <w:r w:rsidRPr="00660FD7">
              <w:rPr>
                <w:rFonts w:ascii="Calibri" w:hAnsi="Calibri"/>
                <w:color w:val="000000"/>
                <w:sz w:val="18"/>
                <w:szCs w:val="18"/>
              </w:rPr>
              <w:t>15.5</w:t>
            </w:r>
          </w:p>
        </w:tc>
        <w:tc>
          <w:tcPr>
            <w:tcW w:w="924" w:type="dxa"/>
            <w:vMerge/>
            <w:tcBorders>
              <w:top w:val="nil"/>
              <w:left w:val="single" w:sz="4" w:space="0" w:color="auto"/>
              <w:bottom w:val="single" w:sz="4" w:space="0" w:color="auto"/>
              <w:right w:val="single" w:sz="4" w:space="0" w:color="auto"/>
            </w:tcBorders>
            <w:vAlign w:val="center"/>
            <w:hideMark/>
          </w:tcPr>
          <w:p w14:paraId="3886B965"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031" w:type="dxa"/>
            <w:vMerge/>
            <w:tcBorders>
              <w:top w:val="nil"/>
              <w:left w:val="single" w:sz="4" w:space="0" w:color="auto"/>
              <w:bottom w:val="single" w:sz="4" w:space="0" w:color="auto"/>
              <w:right w:val="single" w:sz="4" w:space="0" w:color="auto"/>
            </w:tcBorders>
            <w:vAlign w:val="center"/>
            <w:hideMark/>
          </w:tcPr>
          <w:p w14:paraId="23832193"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r>
      <w:tr w:rsidR="00660FD7" w:rsidRPr="00660FD7" w14:paraId="3BF8A85F" w14:textId="77777777" w:rsidTr="00660FD7">
        <w:trPr>
          <w:trHeight w:val="288"/>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14:paraId="6F49BDF1"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PC3 Non-</w:t>
            </w:r>
            <w:proofErr w:type="spellStart"/>
            <w:r w:rsidRPr="00660FD7">
              <w:rPr>
                <w:rFonts w:ascii="Calibri" w:hAnsi="Calibri"/>
                <w:color w:val="000000"/>
                <w:sz w:val="18"/>
                <w:szCs w:val="18"/>
              </w:rPr>
              <w:lastRenderedPageBreak/>
              <w:t>cont</w:t>
            </w:r>
            <w:proofErr w:type="spellEnd"/>
            <w:r w:rsidRPr="00660FD7">
              <w:rPr>
                <w:rFonts w:ascii="Calibri" w:hAnsi="Calibri"/>
                <w:color w:val="000000"/>
                <w:sz w:val="18"/>
                <w:szCs w:val="18"/>
              </w:rPr>
              <w:t xml:space="preserve"> UL CA</w:t>
            </w:r>
          </w:p>
        </w:tc>
        <w:tc>
          <w:tcPr>
            <w:tcW w:w="4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08B810"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lastRenderedPageBreak/>
              <w:t>2</w:t>
            </w:r>
          </w:p>
        </w:tc>
        <w:tc>
          <w:tcPr>
            <w:tcW w:w="630" w:type="dxa"/>
            <w:vMerge w:val="restart"/>
            <w:tcBorders>
              <w:top w:val="nil"/>
              <w:left w:val="single" w:sz="4" w:space="0" w:color="auto"/>
              <w:bottom w:val="single" w:sz="4" w:space="0" w:color="000000"/>
              <w:right w:val="single" w:sz="4" w:space="0" w:color="auto"/>
            </w:tcBorders>
            <w:shd w:val="clear" w:color="auto" w:fill="auto"/>
            <w:vAlign w:val="center"/>
            <w:hideMark/>
          </w:tcPr>
          <w:p w14:paraId="76A95CAD" w14:textId="77777777" w:rsid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2x</w:t>
            </w:r>
          </w:p>
          <w:p w14:paraId="188A4536" w14:textId="5A55457E"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 xml:space="preserve">PC3 </w:t>
            </w:r>
            <w:r w:rsidRPr="00660FD7">
              <w:rPr>
                <w:rFonts w:ascii="Calibri" w:hAnsi="Calibri"/>
                <w:color w:val="000000"/>
                <w:sz w:val="18"/>
                <w:szCs w:val="18"/>
              </w:rPr>
              <w:lastRenderedPageBreak/>
              <w:t>PA</w:t>
            </w:r>
          </w:p>
        </w:tc>
        <w:tc>
          <w:tcPr>
            <w:tcW w:w="720" w:type="dxa"/>
            <w:tcBorders>
              <w:top w:val="nil"/>
              <w:left w:val="nil"/>
              <w:bottom w:val="single" w:sz="4" w:space="0" w:color="auto"/>
              <w:right w:val="single" w:sz="4" w:space="0" w:color="auto"/>
            </w:tcBorders>
            <w:shd w:val="clear" w:color="auto" w:fill="auto"/>
            <w:noWrap/>
            <w:vAlign w:val="bottom"/>
            <w:hideMark/>
          </w:tcPr>
          <w:p w14:paraId="0B8DE4CA"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lastRenderedPageBreak/>
              <w:t>01</w:t>
            </w:r>
          </w:p>
        </w:tc>
        <w:tc>
          <w:tcPr>
            <w:tcW w:w="1620" w:type="dxa"/>
            <w:tcBorders>
              <w:top w:val="nil"/>
              <w:left w:val="nil"/>
              <w:bottom w:val="single" w:sz="4" w:space="0" w:color="auto"/>
              <w:right w:val="single" w:sz="4" w:space="0" w:color="auto"/>
            </w:tcBorders>
            <w:shd w:val="clear" w:color="auto" w:fill="auto"/>
            <w:noWrap/>
            <w:vAlign w:val="bottom"/>
            <w:hideMark/>
          </w:tcPr>
          <w:p w14:paraId="5D8EC763"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-30dBm/MHz IM3</w:t>
            </w:r>
          </w:p>
        </w:tc>
        <w:tc>
          <w:tcPr>
            <w:tcW w:w="810" w:type="dxa"/>
            <w:tcBorders>
              <w:top w:val="nil"/>
              <w:left w:val="nil"/>
              <w:bottom w:val="single" w:sz="4" w:space="0" w:color="auto"/>
              <w:right w:val="single" w:sz="4" w:space="0" w:color="auto"/>
            </w:tcBorders>
            <w:shd w:val="clear" w:color="auto" w:fill="auto"/>
            <w:noWrap/>
            <w:vAlign w:val="bottom"/>
            <w:hideMark/>
          </w:tcPr>
          <w:p w14:paraId="49840F09" w14:textId="77777777" w:rsidR="00660FD7" w:rsidRPr="00660FD7" w:rsidRDefault="00660FD7" w:rsidP="00660FD7">
            <w:pPr>
              <w:overflowPunct/>
              <w:autoSpaceDE/>
              <w:autoSpaceDN/>
              <w:adjustRightInd/>
              <w:spacing w:after="0"/>
              <w:jc w:val="right"/>
              <w:textAlignment w:val="auto"/>
              <w:rPr>
                <w:rFonts w:ascii="Calibri" w:hAnsi="Calibri"/>
                <w:color w:val="000000"/>
                <w:sz w:val="18"/>
                <w:szCs w:val="18"/>
              </w:rPr>
            </w:pPr>
            <w:r w:rsidRPr="00660FD7">
              <w:rPr>
                <w:rFonts w:ascii="Calibri" w:hAnsi="Calibri"/>
                <w:color w:val="000000"/>
                <w:sz w:val="18"/>
                <w:szCs w:val="18"/>
              </w:rPr>
              <w:t>8</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hideMark/>
          </w:tcPr>
          <w:p w14:paraId="6A419F96" w14:textId="77777777" w:rsidR="00660FD7" w:rsidRPr="00660FD7" w:rsidRDefault="00660FD7" w:rsidP="00660FD7">
            <w:pPr>
              <w:overflowPunct/>
              <w:autoSpaceDE/>
              <w:autoSpaceDN/>
              <w:adjustRightInd/>
              <w:spacing w:after="0"/>
              <w:jc w:val="center"/>
              <w:textAlignment w:val="auto"/>
              <w:rPr>
                <w:color w:val="000000"/>
                <w:sz w:val="18"/>
                <w:szCs w:val="18"/>
              </w:rPr>
            </w:pPr>
            <w:r w:rsidRPr="00660FD7">
              <w:rPr>
                <w:color w:val="000000"/>
                <w:sz w:val="18"/>
                <w:szCs w:val="18"/>
              </w:rPr>
              <w:t>R4-2010301</w:t>
            </w:r>
          </w:p>
        </w:tc>
        <w:tc>
          <w:tcPr>
            <w:tcW w:w="4031" w:type="dxa"/>
            <w:vMerge w:val="restart"/>
            <w:tcBorders>
              <w:top w:val="nil"/>
              <w:left w:val="single" w:sz="4" w:space="0" w:color="auto"/>
              <w:bottom w:val="single" w:sz="4" w:space="0" w:color="auto"/>
              <w:right w:val="single" w:sz="4" w:space="0" w:color="auto"/>
            </w:tcBorders>
            <w:shd w:val="clear" w:color="auto" w:fill="auto"/>
            <w:hideMark/>
          </w:tcPr>
          <w:p w14:paraId="444533F9" w14:textId="0AA5A9BE" w:rsidR="003C4C79"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Results on 2xn77 PAs at low voltage.</w:t>
            </w:r>
            <w:r w:rsidRPr="00660FD7">
              <w:rPr>
                <w:rFonts w:ascii="Calibri" w:hAnsi="Calibri"/>
                <w:color w:val="000000"/>
                <w:sz w:val="18"/>
                <w:szCs w:val="18"/>
              </w:rPr>
              <w:br/>
              <w:t>Each PA has 3dB back-off by default</w:t>
            </w:r>
            <w:r w:rsidR="003C4C79">
              <w:rPr>
                <w:rFonts w:ascii="Calibri" w:hAnsi="Calibri"/>
                <w:color w:val="000000"/>
                <w:sz w:val="18"/>
                <w:szCs w:val="18"/>
              </w:rPr>
              <w:t xml:space="preserve"> </w:t>
            </w:r>
            <w:r w:rsidR="003C4C79" w:rsidRPr="00660FD7">
              <w:rPr>
                <w:rFonts w:ascii="Calibri" w:hAnsi="Calibri"/>
                <w:color w:val="000000"/>
                <w:sz w:val="18"/>
                <w:szCs w:val="18"/>
              </w:rPr>
              <w:t>=&gt; -</w:t>
            </w:r>
            <w:r w:rsidR="003C4C79" w:rsidRPr="00660FD7">
              <w:rPr>
                <w:rFonts w:ascii="Calibri" w:hAnsi="Calibri"/>
                <w:color w:val="000000"/>
                <w:sz w:val="18"/>
                <w:szCs w:val="18"/>
              </w:rPr>
              <w:lastRenderedPageBreak/>
              <w:t>13dBm/MHz should be small</w:t>
            </w:r>
          </w:p>
          <w:p w14:paraId="72943D18" w14:textId="68BBF93E" w:rsidR="00660FD7" w:rsidRPr="00660FD7" w:rsidRDefault="003C4C79" w:rsidP="003C4C79">
            <w:pPr>
              <w:overflowPunct/>
              <w:autoSpaceDE/>
              <w:autoSpaceDN/>
              <w:adjustRightInd/>
              <w:spacing w:after="0"/>
              <w:textAlignment w:val="auto"/>
              <w:rPr>
                <w:rFonts w:ascii="Calibri" w:hAnsi="Calibri"/>
                <w:color w:val="000000"/>
                <w:sz w:val="18"/>
                <w:szCs w:val="18"/>
              </w:rPr>
            </w:pPr>
            <w:r>
              <w:rPr>
                <w:rFonts w:ascii="Calibri" w:hAnsi="Calibri"/>
                <w:color w:val="000000"/>
                <w:sz w:val="18"/>
                <w:szCs w:val="18"/>
              </w:rPr>
              <w:t>Band 41 PA is worse than n77</w:t>
            </w:r>
          </w:p>
        </w:tc>
      </w:tr>
      <w:tr w:rsidR="00660FD7" w:rsidRPr="00660FD7" w14:paraId="3135E0C3" w14:textId="77777777" w:rsidTr="00660FD7">
        <w:trPr>
          <w:trHeight w:val="288"/>
        </w:trPr>
        <w:tc>
          <w:tcPr>
            <w:tcW w:w="735" w:type="dxa"/>
            <w:vMerge/>
            <w:tcBorders>
              <w:top w:val="nil"/>
              <w:left w:val="single" w:sz="4" w:space="0" w:color="auto"/>
              <w:bottom w:val="single" w:sz="4" w:space="0" w:color="auto"/>
              <w:right w:val="single" w:sz="4" w:space="0" w:color="auto"/>
            </w:tcBorders>
            <w:vAlign w:val="center"/>
            <w:hideMark/>
          </w:tcPr>
          <w:p w14:paraId="4D6018A8"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50" w:type="dxa"/>
            <w:vMerge/>
            <w:tcBorders>
              <w:top w:val="nil"/>
              <w:left w:val="single" w:sz="4" w:space="0" w:color="auto"/>
              <w:bottom w:val="single" w:sz="4" w:space="0" w:color="000000"/>
              <w:right w:val="single" w:sz="4" w:space="0" w:color="auto"/>
            </w:tcBorders>
            <w:vAlign w:val="center"/>
            <w:hideMark/>
          </w:tcPr>
          <w:p w14:paraId="7A9EBE31"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630" w:type="dxa"/>
            <w:vMerge/>
            <w:tcBorders>
              <w:top w:val="nil"/>
              <w:left w:val="single" w:sz="4" w:space="0" w:color="auto"/>
              <w:bottom w:val="single" w:sz="4" w:space="0" w:color="000000"/>
              <w:right w:val="single" w:sz="4" w:space="0" w:color="auto"/>
            </w:tcBorders>
            <w:vAlign w:val="center"/>
            <w:hideMark/>
          </w:tcPr>
          <w:p w14:paraId="36F363D9"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720" w:type="dxa"/>
            <w:tcBorders>
              <w:top w:val="nil"/>
              <w:left w:val="nil"/>
              <w:bottom w:val="single" w:sz="4" w:space="0" w:color="auto"/>
              <w:right w:val="single" w:sz="4" w:space="0" w:color="auto"/>
            </w:tcBorders>
            <w:shd w:val="clear" w:color="auto" w:fill="auto"/>
            <w:noWrap/>
            <w:vAlign w:val="bottom"/>
            <w:hideMark/>
          </w:tcPr>
          <w:p w14:paraId="324A5406"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01-04</w:t>
            </w:r>
          </w:p>
        </w:tc>
        <w:tc>
          <w:tcPr>
            <w:tcW w:w="1620" w:type="dxa"/>
            <w:tcBorders>
              <w:top w:val="nil"/>
              <w:left w:val="nil"/>
              <w:bottom w:val="single" w:sz="4" w:space="0" w:color="auto"/>
              <w:right w:val="single" w:sz="4" w:space="0" w:color="auto"/>
            </w:tcBorders>
            <w:shd w:val="clear" w:color="auto" w:fill="auto"/>
            <w:noWrap/>
            <w:vAlign w:val="bottom"/>
            <w:hideMark/>
          </w:tcPr>
          <w:p w14:paraId="68863C00"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-13dBm/MHz IM3</w:t>
            </w:r>
          </w:p>
        </w:tc>
        <w:tc>
          <w:tcPr>
            <w:tcW w:w="810" w:type="dxa"/>
            <w:tcBorders>
              <w:top w:val="nil"/>
              <w:left w:val="nil"/>
              <w:bottom w:val="single" w:sz="4" w:space="0" w:color="auto"/>
              <w:right w:val="single" w:sz="4" w:space="0" w:color="auto"/>
            </w:tcBorders>
            <w:shd w:val="clear" w:color="auto" w:fill="auto"/>
            <w:noWrap/>
            <w:vAlign w:val="bottom"/>
            <w:hideMark/>
          </w:tcPr>
          <w:p w14:paraId="00B8B355" w14:textId="77777777" w:rsidR="00660FD7" w:rsidRPr="00660FD7" w:rsidRDefault="00660FD7" w:rsidP="00660FD7">
            <w:pPr>
              <w:overflowPunct/>
              <w:autoSpaceDE/>
              <w:autoSpaceDN/>
              <w:adjustRightInd/>
              <w:spacing w:after="0"/>
              <w:jc w:val="right"/>
              <w:textAlignment w:val="auto"/>
              <w:rPr>
                <w:rFonts w:ascii="Calibri" w:hAnsi="Calibri"/>
                <w:color w:val="000000"/>
                <w:sz w:val="18"/>
                <w:szCs w:val="18"/>
              </w:rPr>
            </w:pPr>
            <w:r w:rsidRPr="00660FD7">
              <w:rPr>
                <w:rFonts w:ascii="Calibri" w:hAnsi="Calibri"/>
                <w:color w:val="000000"/>
                <w:sz w:val="18"/>
                <w:szCs w:val="18"/>
              </w:rPr>
              <w:t>0</w:t>
            </w:r>
          </w:p>
        </w:tc>
        <w:tc>
          <w:tcPr>
            <w:tcW w:w="924" w:type="dxa"/>
            <w:vMerge/>
            <w:tcBorders>
              <w:top w:val="nil"/>
              <w:left w:val="single" w:sz="4" w:space="0" w:color="auto"/>
              <w:bottom w:val="single" w:sz="4" w:space="0" w:color="auto"/>
              <w:right w:val="single" w:sz="4" w:space="0" w:color="auto"/>
            </w:tcBorders>
            <w:vAlign w:val="center"/>
            <w:hideMark/>
          </w:tcPr>
          <w:p w14:paraId="48C46380" w14:textId="77777777" w:rsidR="00660FD7" w:rsidRPr="00660FD7" w:rsidRDefault="00660FD7" w:rsidP="00660FD7">
            <w:pPr>
              <w:overflowPunct/>
              <w:autoSpaceDE/>
              <w:autoSpaceDN/>
              <w:adjustRightInd/>
              <w:spacing w:after="0"/>
              <w:textAlignment w:val="auto"/>
              <w:rPr>
                <w:color w:val="000000"/>
                <w:sz w:val="18"/>
                <w:szCs w:val="18"/>
              </w:rPr>
            </w:pPr>
          </w:p>
        </w:tc>
        <w:tc>
          <w:tcPr>
            <w:tcW w:w="4031" w:type="dxa"/>
            <w:vMerge/>
            <w:tcBorders>
              <w:top w:val="nil"/>
              <w:left w:val="single" w:sz="4" w:space="0" w:color="auto"/>
              <w:bottom w:val="single" w:sz="4" w:space="0" w:color="auto"/>
              <w:right w:val="single" w:sz="4" w:space="0" w:color="auto"/>
            </w:tcBorders>
            <w:vAlign w:val="center"/>
            <w:hideMark/>
          </w:tcPr>
          <w:p w14:paraId="3129F201"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r>
      <w:tr w:rsidR="00660FD7" w:rsidRPr="00660FD7" w14:paraId="5BEEFC85" w14:textId="77777777" w:rsidTr="00660FD7">
        <w:trPr>
          <w:trHeight w:val="288"/>
        </w:trPr>
        <w:tc>
          <w:tcPr>
            <w:tcW w:w="735" w:type="dxa"/>
            <w:vMerge/>
            <w:tcBorders>
              <w:top w:val="nil"/>
              <w:left w:val="single" w:sz="4" w:space="0" w:color="auto"/>
              <w:bottom w:val="single" w:sz="4" w:space="0" w:color="auto"/>
              <w:right w:val="single" w:sz="4" w:space="0" w:color="auto"/>
            </w:tcBorders>
            <w:vAlign w:val="center"/>
            <w:hideMark/>
          </w:tcPr>
          <w:p w14:paraId="7AFC6EDB"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450" w:type="dxa"/>
            <w:vMerge/>
            <w:tcBorders>
              <w:top w:val="nil"/>
              <w:left w:val="single" w:sz="4" w:space="0" w:color="auto"/>
              <w:bottom w:val="single" w:sz="4" w:space="0" w:color="000000"/>
              <w:right w:val="single" w:sz="4" w:space="0" w:color="auto"/>
            </w:tcBorders>
            <w:vAlign w:val="center"/>
            <w:hideMark/>
          </w:tcPr>
          <w:p w14:paraId="4135B57B"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630" w:type="dxa"/>
            <w:vMerge/>
            <w:tcBorders>
              <w:top w:val="nil"/>
              <w:left w:val="single" w:sz="4" w:space="0" w:color="auto"/>
              <w:bottom w:val="single" w:sz="4" w:space="0" w:color="000000"/>
              <w:right w:val="single" w:sz="4" w:space="0" w:color="auto"/>
            </w:tcBorders>
            <w:vAlign w:val="center"/>
            <w:hideMark/>
          </w:tcPr>
          <w:p w14:paraId="447FF524"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c>
          <w:tcPr>
            <w:tcW w:w="720" w:type="dxa"/>
            <w:tcBorders>
              <w:top w:val="nil"/>
              <w:left w:val="nil"/>
              <w:bottom w:val="single" w:sz="4" w:space="0" w:color="auto"/>
              <w:right w:val="single" w:sz="4" w:space="0" w:color="auto"/>
            </w:tcBorders>
            <w:shd w:val="clear" w:color="auto" w:fill="auto"/>
            <w:noWrap/>
            <w:vAlign w:val="bottom"/>
            <w:hideMark/>
          </w:tcPr>
          <w:p w14:paraId="7BEC4E86" w14:textId="77777777" w:rsidR="00660FD7" w:rsidRPr="00660FD7" w:rsidRDefault="00660FD7" w:rsidP="00660FD7">
            <w:pPr>
              <w:overflowPunct/>
              <w:autoSpaceDE/>
              <w:autoSpaceDN/>
              <w:adjustRightInd/>
              <w:spacing w:after="0"/>
              <w:jc w:val="center"/>
              <w:textAlignment w:val="auto"/>
              <w:rPr>
                <w:rFonts w:ascii="Calibri" w:hAnsi="Calibri"/>
                <w:color w:val="000000"/>
                <w:sz w:val="18"/>
                <w:szCs w:val="18"/>
              </w:rPr>
            </w:pPr>
            <w:r w:rsidRPr="00660FD7">
              <w:rPr>
                <w:rFonts w:ascii="Calibri" w:hAnsi="Calibri"/>
                <w:color w:val="000000"/>
                <w:sz w:val="18"/>
                <w:szCs w:val="18"/>
              </w:rPr>
              <w:t>04</w:t>
            </w:r>
          </w:p>
        </w:tc>
        <w:tc>
          <w:tcPr>
            <w:tcW w:w="1620" w:type="dxa"/>
            <w:tcBorders>
              <w:top w:val="nil"/>
              <w:left w:val="nil"/>
              <w:bottom w:val="single" w:sz="4" w:space="0" w:color="auto"/>
              <w:right w:val="single" w:sz="4" w:space="0" w:color="auto"/>
            </w:tcBorders>
            <w:shd w:val="clear" w:color="auto" w:fill="auto"/>
            <w:noWrap/>
            <w:vAlign w:val="bottom"/>
            <w:hideMark/>
          </w:tcPr>
          <w:p w14:paraId="338D72D3"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r w:rsidRPr="00660FD7">
              <w:rPr>
                <w:rFonts w:ascii="Calibri" w:hAnsi="Calibri"/>
                <w:color w:val="000000"/>
                <w:sz w:val="18"/>
                <w:szCs w:val="18"/>
              </w:rPr>
              <w:t>-25dBm/MHz IM3</w:t>
            </w:r>
          </w:p>
        </w:tc>
        <w:tc>
          <w:tcPr>
            <w:tcW w:w="810" w:type="dxa"/>
            <w:tcBorders>
              <w:top w:val="nil"/>
              <w:left w:val="nil"/>
              <w:bottom w:val="single" w:sz="4" w:space="0" w:color="auto"/>
              <w:right w:val="single" w:sz="4" w:space="0" w:color="auto"/>
            </w:tcBorders>
            <w:shd w:val="clear" w:color="auto" w:fill="auto"/>
            <w:noWrap/>
            <w:vAlign w:val="bottom"/>
            <w:hideMark/>
          </w:tcPr>
          <w:p w14:paraId="547AE424" w14:textId="77777777" w:rsidR="00660FD7" w:rsidRPr="00660FD7" w:rsidRDefault="00660FD7" w:rsidP="00660FD7">
            <w:pPr>
              <w:overflowPunct/>
              <w:autoSpaceDE/>
              <w:autoSpaceDN/>
              <w:adjustRightInd/>
              <w:spacing w:after="0"/>
              <w:jc w:val="right"/>
              <w:textAlignment w:val="auto"/>
              <w:rPr>
                <w:rFonts w:ascii="Calibri" w:hAnsi="Calibri"/>
                <w:color w:val="000000"/>
                <w:sz w:val="18"/>
                <w:szCs w:val="18"/>
              </w:rPr>
            </w:pPr>
            <w:r w:rsidRPr="00660FD7">
              <w:rPr>
                <w:rFonts w:ascii="Calibri" w:hAnsi="Calibri"/>
                <w:color w:val="000000"/>
                <w:sz w:val="18"/>
                <w:szCs w:val="18"/>
              </w:rPr>
              <w:t>7</w:t>
            </w:r>
          </w:p>
        </w:tc>
        <w:tc>
          <w:tcPr>
            <w:tcW w:w="924" w:type="dxa"/>
            <w:vMerge/>
            <w:tcBorders>
              <w:top w:val="nil"/>
              <w:left w:val="single" w:sz="4" w:space="0" w:color="auto"/>
              <w:bottom w:val="single" w:sz="4" w:space="0" w:color="auto"/>
              <w:right w:val="single" w:sz="4" w:space="0" w:color="auto"/>
            </w:tcBorders>
            <w:vAlign w:val="center"/>
            <w:hideMark/>
          </w:tcPr>
          <w:p w14:paraId="098F0A9B" w14:textId="77777777" w:rsidR="00660FD7" w:rsidRPr="00660FD7" w:rsidRDefault="00660FD7" w:rsidP="00660FD7">
            <w:pPr>
              <w:overflowPunct/>
              <w:autoSpaceDE/>
              <w:autoSpaceDN/>
              <w:adjustRightInd/>
              <w:spacing w:after="0"/>
              <w:textAlignment w:val="auto"/>
              <w:rPr>
                <w:color w:val="000000"/>
                <w:sz w:val="18"/>
                <w:szCs w:val="18"/>
              </w:rPr>
            </w:pPr>
          </w:p>
        </w:tc>
        <w:tc>
          <w:tcPr>
            <w:tcW w:w="4031" w:type="dxa"/>
            <w:vMerge/>
            <w:tcBorders>
              <w:top w:val="nil"/>
              <w:left w:val="single" w:sz="4" w:space="0" w:color="auto"/>
              <w:bottom w:val="single" w:sz="4" w:space="0" w:color="auto"/>
              <w:right w:val="single" w:sz="4" w:space="0" w:color="auto"/>
            </w:tcBorders>
            <w:vAlign w:val="center"/>
            <w:hideMark/>
          </w:tcPr>
          <w:p w14:paraId="4F968166" w14:textId="77777777" w:rsidR="00660FD7" w:rsidRPr="00660FD7" w:rsidRDefault="00660FD7" w:rsidP="00660FD7">
            <w:pPr>
              <w:overflowPunct/>
              <w:autoSpaceDE/>
              <w:autoSpaceDN/>
              <w:adjustRightInd/>
              <w:spacing w:after="0"/>
              <w:textAlignment w:val="auto"/>
              <w:rPr>
                <w:rFonts w:ascii="Calibri" w:hAnsi="Calibri"/>
                <w:color w:val="000000"/>
                <w:sz w:val="18"/>
                <w:szCs w:val="18"/>
              </w:rPr>
            </w:pPr>
          </w:p>
        </w:tc>
      </w:tr>
    </w:tbl>
    <w:p w14:paraId="1697AE8D" w14:textId="77777777" w:rsidR="00533E48" w:rsidRDefault="00533E48" w:rsidP="00646AFD">
      <w:pPr>
        <w:spacing w:after="0"/>
      </w:pPr>
    </w:p>
    <w:p w14:paraId="7484ABE6" w14:textId="07E36007" w:rsidR="00660FD7" w:rsidRPr="00660FD7" w:rsidRDefault="00660FD7" w:rsidP="00646AFD">
      <w:pPr>
        <w:spacing w:after="0"/>
        <w:rPr>
          <w:b/>
        </w:rPr>
      </w:pPr>
      <w:r w:rsidRPr="00660FD7">
        <w:rPr>
          <w:b/>
        </w:rPr>
        <w:t>Observations:</w:t>
      </w:r>
    </w:p>
    <w:p w14:paraId="20C38573" w14:textId="0E55AE92" w:rsidR="00660FD7" w:rsidRDefault="003C4C79" w:rsidP="00660FD7">
      <w:pPr>
        <w:pStyle w:val="ListParagraph"/>
        <w:numPr>
          <w:ilvl w:val="0"/>
          <w:numId w:val="32"/>
        </w:numPr>
        <w:spacing w:after="0"/>
        <w:rPr>
          <w:b/>
        </w:rPr>
      </w:pPr>
      <w:r>
        <w:rPr>
          <w:b/>
        </w:rPr>
        <w:t xml:space="preserve">PC3 contiguous UL CA </w:t>
      </w:r>
      <w:r w:rsidR="00660FD7" w:rsidRPr="00660FD7">
        <w:rPr>
          <w:b/>
        </w:rPr>
        <w:t xml:space="preserve">-25dBm/MHz IM3 has lower back-off than -30dBm/MHz IM5 </w:t>
      </w:r>
      <w:r w:rsidR="00660FD7">
        <w:rPr>
          <w:b/>
        </w:rPr>
        <w:t>specifications which is not logical</w:t>
      </w:r>
    </w:p>
    <w:p w14:paraId="315214B0" w14:textId="2AD90420" w:rsidR="00660FD7" w:rsidRDefault="00660FD7" w:rsidP="00660FD7">
      <w:pPr>
        <w:pStyle w:val="ListParagraph"/>
        <w:numPr>
          <w:ilvl w:val="0"/>
          <w:numId w:val="32"/>
        </w:numPr>
        <w:spacing w:after="0"/>
        <w:rPr>
          <w:b/>
        </w:rPr>
      </w:pPr>
      <w:r>
        <w:rPr>
          <w:b/>
        </w:rPr>
        <w:t xml:space="preserve">PC2 contiguous UL CA non-contiguous allocations back-off </w:t>
      </w:r>
      <w:r w:rsidR="003C4C79">
        <w:rPr>
          <w:b/>
        </w:rPr>
        <w:t xml:space="preserve">similar to </w:t>
      </w:r>
      <w:r>
        <w:rPr>
          <w:b/>
        </w:rPr>
        <w:t>PC3</w:t>
      </w:r>
      <w:r w:rsidR="003C4C79">
        <w:rPr>
          <w:b/>
        </w:rPr>
        <w:t xml:space="preserve"> but NS04 1.5dB worse than WC MPR</w:t>
      </w:r>
    </w:p>
    <w:p w14:paraId="2AE7E74A" w14:textId="77777777" w:rsidR="0013259F" w:rsidRDefault="00660FD7" w:rsidP="00660FD7">
      <w:pPr>
        <w:pStyle w:val="ListParagraph"/>
        <w:numPr>
          <w:ilvl w:val="0"/>
          <w:numId w:val="32"/>
        </w:numPr>
        <w:spacing w:after="0"/>
        <w:rPr>
          <w:b/>
        </w:rPr>
      </w:pPr>
      <w:r>
        <w:rPr>
          <w:b/>
        </w:rPr>
        <w:t>2xPC3 PA 1RB+1RB worst case back-off is 1-2dB worse than 1xPC3 PA equivalent</w:t>
      </w:r>
    </w:p>
    <w:p w14:paraId="54FD2123" w14:textId="0FAD5B0C" w:rsidR="0013259F" w:rsidRDefault="0013259F" w:rsidP="0013259F">
      <w:pPr>
        <w:pStyle w:val="ListParagraph"/>
        <w:numPr>
          <w:ilvl w:val="0"/>
          <w:numId w:val="32"/>
        </w:numPr>
        <w:spacing w:after="0"/>
        <w:rPr>
          <w:b/>
        </w:rPr>
      </w:pPr>
      <w:r>
        <w:rPr>
          <w:b/>
        </w:rPr>
        <w:t>PC3 non-contiguous UL CA MPR/NS04 AMPR is similar than PC2 non-contiguous ENDC which is not consistent</w:t>
      </w:r>
    </w:p>
    <w:p w14:paraId="00C7CA0A" w14:textId="68FECE2E" w:rsidR="0013259F" w:rsidRDefault="0013259F" w:rsidP="0013259F">
      <w:pPr>
        <w:pStyle w:val="ListParagraph"/>
        <w:numPr>
          <w:ilvl w:val="0"/>
          <w:numId w:val="32"/>
        </w:numPr>
        <w:spacing w:after="0"/>
        <w:rPr>
          <w:b/>
        </w:rPr>
      </w:pPr>
      <w:r>
        <w:rPr>
          <w:b/>
        </w:rPr>
        <w:t xml:space="preserve">R16 </w:t>
      </w:r>
      <w:r w:rsidR="00B0540C">
        <w:rPr>
          <w:b/>
        </w:rPr>
        <w:t xml:space="preserve">38.101-1 </w:t>
      </w:r>
      <w:r>
        <w:rPr>
          <w:b/>
        </w:rPr>
        <w:t xml:space="preserve">is missing NS04 A-MPR </w:t>
      </w:r>
      <w:r w:rsidR="00B0540C">
        <w:rPr>
          <w:b/>
        </w:rPr>
        <w:t>for 2xPC3 PA</w:t>
      </w:r>
    </w:p>
    <w:p w14:paraId="4E571855" w14:textId="77777777" w:rsidR="0013259F" w:rsidRDefault="0013259F" w:rsidP="0013259F">
      <w:pPr>
        <w:spacing w:after="0"/>
        <w:rPr>
          <w:b/>
        </w:rPr>
      </w:pPr>
    </w:p>
    <w:p w14:paraId="574C652B" w14:textId="759B917B" w:rsidR="0013259F" w:rsidRDefault="0013259F" w:rsidP="0013259F">
      <w:pPr>
        <w:spacing w:after="0"/>
      </w:pPr>
      <w:r>
        <w:t xml:space="preserve">Overall, it seems that a few </w:t>
      </w:r>
      <w:r w:rsidR="003A045F">
        <w:t xml:space="preserve">Release </w:t>
      </w:r>
      <w:r>
        <w:t>16 PC3 UL CA numbers are on the high side and our results are more aligned.</w:t>
      </w:r>
      <w:r w:rsidR="00B0540C">
        <w:t xml:space="preserve"> NS04 2xPC3 PA A-MPR is still needed as </w:t>
      </w:r>
      <w:r w:rsidR="003A045F">
        <w:t xml:space="preserve">the </w:t>
      </w:r>
      <w:r w:rsidR="00B0540C">
        <w:t>current A-MPR spec</w:t>
      </w:r>
      <w:r w:rsidR="003A045F">
        <w:t>ification</w:t>
      </w:r>
      <w:r w:rsidR="00B0540C">
        <w:t xml:space="preserve"> only covers single PC3 PA case.</w:t>
      </w:r>
    </w:p>
    <w:p w14:paraId="088A9C7A" w14:textId="77777777" w:rsidR="0013259F" w:rsidRDefault="0013259F" w:rsidP="0013259F">
      <w:pPr>
        <w:spacing w:after="0"/>
      </w:pPr>
    </w:p>
    <w:p w14:paraId="2436C264" w14:textId="5EF70420" w:rsidR="00B0540C" w:rsidRDefault="0013259F" w:rsidP="0013259F">
      <w:pPr>
        <w:spacing w:after="0"/>
        <w:rPr>
          <w:b/>
        </w:rPr>
      </w:pPr>
      <w:r w:rsidRPr="0013259F">
        <w:rPr>
          <w:b/>
        </w:rPr>
        <w:t>Proposal</w:t>
      </w:r>
      <w:r w:rsidR="00160255">
        <w:rPr>
          <w:b/>
        </w:rPr>
        <w:t xml:space="preserve"> 2 on consistency checks</w:t>
      </w:r>
      <w:r w:rsidRPr="0013259F">
        <w:rPr>
          <w:b/>
        </w:rPr>
        <w:t>:</w:t>
      </w:r>
      <w:r>
        <w:rPr>
          <w:b/>
        </w:rPr>
        <w:t xml:space="preserve"> </w:t>
      </w:r>
    </w:p>
    <w:p w14:paraId="11E1BB83" w14:textId="77777777" w:rsidR="00B0540C" w:rsidRDefault="0013259F" w:rsidP="00B0540C">
      <w:pPr>
        <w:pStyle w:val="ListParagraph"/>
        <w:numPr>
          <w:ilvl w:val="0"/>
          <w:numId w:val="33"/>
        </w:numPr>
        <w:spacing w:after="0"/>
        <w:rPr>
          <w:b/>
        </w:rPr>
      </w:pPr>
      <w:r w:rsidRPr="00B0540C">
        <w:rPr>
          <w:b/>
        </w:rPr>
        <w:t xml:space="preserve">While PC2 UL CA </w:t>
      </w:r>
      <w:r w:rsidR="00B0540C" w:rsidRPr="00B0540C">
        <w:rPr>
          <w:b/>
        </w:rPr>
        <w:t xml:space="preserve">contiguous and non-contiguous UL CA </w:t>
      </w:r>
      <w:r w:rsidRPr="00B0540C">
        <w:rPr>
          <w:b/>
        </w:rPr>
        <w:t>cases are evaluated</w:t>
      </w:r>
      <w:r w:rsidR="00B0540C" w:rsidRPr="00B0540C">
        <w:rPr>
          <w:b/>
        </w:rPr>
        <w:t xml:space="preserve">, the PC3 numbers should further be verified for consistency. </w:t>
      </w:r>
    </w:p>
    <w:p w14:paraId="7BCBF8FF" w14:textId="02A048F3" w:rsidR="0013259F" w:rsidRPr="00B0540C" w:rsidRDefault="00B0540C" w:rsidP="00B0540C">
      <w:pPr>
        <w:pStyle w:val="ListParagraph"/>
        <w:numPr>
          <w:ilvl w:val="0"/>
          <w:numId w:val="33"/>
        </w:numPr>
        <w:spacing w:after="0"/>
        <w:rPr>
          <w:b/>
        </w:rPr>
      </w:pPr>
      <w:r w:rsidRPr="00B0540C">
        <w:rPr>
          <w:b/>
        </w:rPr>
        <w:t>Missing PC3 non-co</w:t>
      </w:r>
      <w:r>
        <w:rPr>
          <w:b/>
        </w:rPr>
        <w:t>ntiguous UL CA NS04 A-MPR for two PC3 PA architecture is</w:t>
      </w:r>
      <w:r w:rsidRPr="00B0540C">
        <w:rPr>
          <w:b/>
        </w:rPr>
        <w:t xml:space="preserve"> evaluated (input exists in </w:t>
      </w:r>
      <w:r w:rsidRPr="00660FD7">
        <w:rPr>
          <w:b/>
          <w:color w:val="000000"/>
          <w:sz w:val="18"/>
          <w:szCs w:val="18"/>
        </w:rPr>
        <w:t>R4-2010301</w:t>
      </w:r>
      <w:r w:rsidRPr="00B0540C">
        <w:rPr>
          <w:b/>
          <w:color w:val="000000"/>
          <w:sz w:val="18"/>
          <w:szCs w:val="18"/>
        </w:rPr>
        <w:t>)</w:t>
      </w:r>
    </w:p>
    <w:p w14:paraId="5CCE8731" w14:textId="0F58DD03" w:rsidR="00976A16" w:rsidRDefault="00B61D3B" w:rsidP="00976A16">
      <w:pPr>
        <w:pStyle w:val="Heading2"/>
        <w:spacing w:after="240"/>
        <w:rPr>
          <w:sz w:val="36"/>
          <w:lang w:val="en-US"/>
        </w:rPr>
      </w:pPr>
      <w:r>
        <w:rPr>
          <w:sz w:val="36"/>
          <w:lang w:val="en-US"/>
        </w:rPr>
        <w:t xml:space="preserve">MPR and A-MPR </w:t>
      </w:r>
      <w:r w:rsidR="0053123B">
        <w:rPr>
          <w:sz w:val="36"/>
          <w:lang w:val="en-US"/>
        </w:rPr>
        <w:t>evaluation Assumptions</w:t>
      </w:r>
    </w:p>
    <w:p w14:paraId="03F6DE36" w14:textId="1889E4B7" w:rsidR="00357919" w:rsidRDefault="0053123B" w:rsidP="007D754D">
      <w:pPr>
        <w:spacing w:after="0"/>
        <w:jc w:val="both"/>
      </w:pPr>
      <w:r>
        <w:t>U</w:t>
      </w:r>
      <w:r w:rsidR="00F424A4">
        <w:t xml:space="preserve">pdating </w:t>
      </w:r>
      <w:r w:rsidR="005E2FDA">
        <w:t>the agreed</w:t>
      </w:r>
      <w:r w:rsidR="00F424A4">
        <w:t xml:space="preserve"> the PC3 </w:t>
      </w:r>
      <w:r w:rsidR="005E2FDA">
        <w:t>assumptions in</w:t>
      </w:r>
      <w:r w:rsidR="00F424A4">
        <w:t xml:space="preserve"> [2] and similar test conditions than in PC3 counterpart study in [3]</w:t>
      </w:r>
      <w:r w:rsidR="00925586">
        <w:t>:</w:t>
      </w:r>
    </w:p>
    <w:p w14:paraId="437602FC" w14:textId="1A97693F" w:rsidR="00925586" w:rsidRPr="00925586" w:rsidRDefault="00925586" w:rsidP="00925586">
      <w:pPr>
        <w:pStyle w:val="ListParagraph"/>
        <w:numPr>
          <w:ilvl w:val="0"/>
          <w:numId w:val="24"/>
        </w:numPr>
        <w:spacing w:after="0"/>
        <w:jc w:val="both"/>
      </w:pPr>
      <w:r w:rsidRPr="00925586">
        <w:rPr>
          <w:lang w:val="en-CA"/>
        </w:rPr>
        <w:t>Based on 2x2</w:t>
      </w:r>
      <w:r w:rsidR="005E2FDA">
        <w:rPr>
          <w:lang w:val="en-CA"/>
        </w:rPr>
        <w:t>6</w:t>
      </w:r>
      <w:r w:rsidRPr="00925586">
        <w:rPr>
          <w:lang w:val="en-CA"/>
        </w:rPr>
        <w:t>dBm PAs</w:t>
      </w:r>
    </w:p>
    <w:p w14:paraId="215D5FB5" w14:textId="573964AF" w:rsidR="00925586" w:rsidRPr="00925586" w:rsidRDefault="00925586" w:rsidP="00925586">
      <w:pPr>
        <w:pStyle w:val="ListParagraph"/>
        <w:numPr>
          <w:ilvl w:val="0"/>
          <w:numId w:val="24"/>
        </w:numPr>
        <w:spacing w:after="0"/>
        <w:jc w:val="both"/>
      </w:pPr>
      <w:r w:rsidRPr="00925586">
        <w:rPr>
          <w:lang w:val="en-CA"/>
        </w:rPr>
        <w:t>Antenna isolation is 10dB</w:t>
      </w:r>
      <w:r w:rsidR="005E2FDA">
        <w:rPr>
          <w:lang w:val="en-CA"/>
        </w:rPr>
        <w:t xml:space="preserve"> and 4dB post-PA losses</w:t>
      </w:r>
    </w:p>
    <w:p w14:paraId="162D5449" w14:textId="5F4204A0" w:rsidR="00925586" w:rsidRPr="00925586" w:rsidRDefault="00925586" w:rsidP="00925586">
      <w:pPr>
        <w:pStyle w:val="ListParagraph"/>
        <w:numPr>
          <w:ilvl w:val="0"/>
          <w:numId w:val="24"/>
        </w:numPr>
        <w:spacing w:after="0"/>
        <w:jc w:val="both"/>
      </w:pPr>
      <w:r>
        <w:rPr>
          <w:lang w:val="en-CA"/>
        </w:rPr>
        <w:t xml:space="preserve">Each </w:t>
      </w:r>
      <w:r w:rsidRPr="00925586">
        <w:rPr>
          <w:lang w:val="en-CA"/>
        </w:rPr>
        <w:t>PA calibrated for 3</w:t>
      </w:r>
      <w:r w:rsidR="005E2FDA">
        <w:rPr>
          <w:lang w:val="en-CA"/>
        </w:rPr>
        <w:t>1</w:t>
      </w:r>
      <w:r w:rsidRPr="00925586">
        <w:rPr>
          <w:lang w:val="en-CA"/>
        </w:rPr>
        <w:t>dBc ACLR at 2</w:t>
      </w:r>
      <w:r w:rsidR="005E2FDA">
        <w:rPr>
          <w:lang w:val="en-CA"/>
        </w:rPr>
        <w:t>6</w:t>
      </w:r>
      <w:r w:rsidRPr="00925586">
        <w:rPr>
          <w:lang w:val="en-CA"/>
        </w:rPr>
        <w:t>dBm with 20MHz 100RB0 DFT-s-OFDM QPSK waveform</w:t>
      </w:r>
    </w:p>
    <w:p w14:paraId="70463B88" w14:textId="77777777" w:rsidR="003C4C79" w:rsidRPr="00925586" w:rsidRDefault="003C4C79" w:rsidP="003C4C79">
      <w:pPr>
        <w:pStyle w:val="ListParagraph"/>
        <w:numPr>
          <w:ilvl w:val="0"/>
          <w:numId w:val="24"/>
        </w:numPr>
        <w:spacing w:after="0"/>
        <w:jc w:val="both"/>
      </w:pPr>
      <w:r w:rsidRPr="00925586">
        <w:rPr>
          <w:lang w:val="en-CA"/>
        </w:rPr>
        <w:t>Equal PSD and Equal back-off power split</w:t>
      </w:r>
    </w:p>
    <w:p w14:paraId="176B4E65" w14:textId="77777777" w:rsidR="00160255" w:rsidRDefault="00160255" w:rsidP="00160255">
      <w:pPr>
        <w:spacing w:after="0"/>
        <w:jc w:val="both"/>
      </w:pPr>
    </w:p>
    <w:p w14:paraId="46C8A067" w14:textId="19BE5FF8" w:rsidR="00160255" w:rsidRPr="00160255" w:rsidRDefault="00160255" w:rsidP="00160255">
      <w:pPr>
        <w:spacing w:after="0"/>
        <w:jc w:val="both"/>
      </w:pPr>
      <w:r>
        <w:t>Scenarios evaluated:</w:t>
      </w:r>
    </w:p>
    <w:p w14:paraId="64072A77" w14:textId="419EFC1C" w:rsidR="00925586" w:rsidRPr="00AE05E5" w:rsidRDefault="00925586" w:rsidP="00925586">
      <w:pPr>
        <w:pStyle w:val="ListParagraph"/>
        <w:numPr>
          <w:ilvl w:val="0"/>
          <w:numId w:val="24"/>
        </w:numPr>
        <w:spacing w:after="0"/>
        <w:jc w:val="both"/>
      </w:pPr>
      <w:r w:rsidRPr="00925586">
        <w:rPr>
          <w:lang w:val="en-CA"/>
        </w:rPr>
        <w:t>Since same MPR is targeted CP-OFDM is used in each carrier</w:t>
      </w:r>
      <w:r w:rsidR="007C1FFC">
        <w:rPr>
          <w:lang w:val="en-CA"/>
        </w:rPr>
        <w:t xml:space="preserve"> but both CP-OFDM and DFT-s-OFDM can be evaluated</w:t>
      </w:r>
    </w:p>
    <w:p w14:paraId="295CC84E" w14:textId="32E2F9BA" w:rsidR="005E2FDA" w:rsidRPr="005E2FDA" w:rsidRDefault="00925586" w:rsidP="00925586">
      <w:pPr>
        <w:pStyle w:val="ListParagraph"/>
        <w:numPr>
          <w:ilvl w:val="0"/>
          <w:numId w:val="24"/>
        </w:numPr>
        <w:spacing w:after="0"/>
        <w:jc w:val="both"/>
      </w:pPr>
      <w:r w:rsidRPr="00925586">
        <w:rPr>
          <w:lang w:val="en-CA"/>
        </w:rPr>
        <w:t xml:space="preserve">Worst case back-off </w:t>
      </w:r>
      <w:r w:rsidR="005E2FDA">
        <w:rPr>
          <w:lang w:val="en-CA"/>
        </w:rPr>
        <w:t xml:space="preserve"> </w:t>
      </w:r>
      <w:r w:rsidRPr="00925586">
        <w:rPr>
          <w:lang w:val="en-CA"/>
        </w:rPr>
        <w:t>IMD3 at -13dBm/MHz and -30dBm/MHz for 1RB+1RB at 15kHz and 30kHz SCS</w:t>
      </w:r>
      <w:r w:rsidR="005E2FDA">
        <w:rPr>
          <w:lang w:val="en-CA"/>
        </w:rPr>
        <w:t xml:space="preserve"> for MPR</w:t>
      </w:r>
      <w:r w:rsidR="005C0F32">
        <w:rPr>
          <w:lang w:val="en-CA"/>
        </w:rPr>
        <w:t xml:space="preserve"> with 31dBc ACLR and </w:t>
      </w:r>
    </w:p>
    <w:p w14:paraId="45B07FE9" w14:textId="6C29033B" w:rsidR="005E2FDA" w:rsidRPr="00AE05E5" w:rsidRDefault="005E2FDA" w:rsidP="005E2FDA">
      <w:pPr>
        <w:pStyle w:val="ListParagraph"/>
        <w:numPr>
          <w:ilvl w:val="0"/>
          <w:numId w:val="24"/>
        </w:numPr>
        <w:spacing w:after="0"/>
        <w:jc w:val="both"/>
      </w:pPr>
      <w:r w:rsidRPr="00925586">
        <w:rPr>
          <w:lang w:val="en-CA"/>
        </w:rPr>
        <w:t xml:space="preserve">Worst case back-off </w:t>
      </w:r>
      <w:r>
        <w:rPr>
          <w:lang w:val="en-CA"/>
        </w:rPr>
        <w:t xml:space="preserve"> </w:t>
      </w:r>
      <w:r w:rsidRPr="00925586">
        <w:rPr>
          <w:lang w:val="en-CA"/>
        </w:rPr>
        <w:t>IMD3 at -13dBm/MHz and -</w:t>
      </w:r>
      <w:r>
        <w:rPr>
          <w:lang w:val="en-CA"/>
        </w:rPr>
        <w:t>25</w:t>
      </w:r>
      <w:r w:rsidRPr="00925586">
        <w:rPr>
          <w:lang w:val="en-CA"/>
        </w:rPr>
        <w:t>dBm/MHz for 1RB+1RB at 15kHz and 30kHz SCS</w:t>
      </w:r>
      <w:r>
        <w:rPr>
          <w:lang w:val="en-CA"/>
        </w:rPr>
        <w:t xml:space="preserve"> for NS04 A-MPR</w:t>
      </w:r>
    </w:p>
    <w:p w14:paraId="39939246" w14:textId="40A54BF1" w:rsidR="00925586" w:rsidRPr="00AE05E5" w:rsidRDefault="00925586" w:rsidP="00925586">
      <w:pPr>
        <w:pStyle w:val="ListParagraph"/>
        <w:numPr>
          <w:ilvl w:val="0"/>
          <w:numId w:val="24"/>
        </w:numPr>
        <w:spacing w:after="0"/>
        <w:jc w:val="both"/>
      </w:pPr>
      <w:r w:rsidRPr="005E2FDA">
        <w:rPr>
          <w:lang w:val="en-CA"/>
        </w:rPr>
        <w:t>1RB+1RB separation of ~100, 200, 600MHz to cover variation across BW separation classes</w:t>
      </w:r>
    </w:p>
    <w:p w14:paraId="6D5F690F" w14:textId="621E8A47" w:rsidR="00925586" w:rsidRPr="00925586" w:rsidRDefault="00925586" w:rsidP="00925586">
      <w:pPr>
        <w:pStyle w:val="ListParagraph"/>
        <w:numPr>
          <w:ilvl w:val="0"/>
          <w:numId w:val="24"/>
        </w:numPr>
        <w:spacing w:after="0"/>
        <w:jc w:val="both"/>
      </w:pPr>
      <w:r w:rsidRPr="00925586">
        <w:rPr>
          <w:lang w:val="en-CA"/>
        </w:rPr>
        <w:t xml:space="preserve">Other allocations sizes are recommended but the MPR vs allocation BW behavior from </w:t>
      </w:r>
      <w:r w:rsidR="007C1FFC">
        <w:rPr>
          <w:lang w:val="en-CA"/>
        </w:rPr>
        <w:t>PC3</w:t>
      </w:r>
      <w:r w:rsidRPr="00925586">
        <w:rPr>
          <w:lang w:val="en-CA"/>
        </w:rPr>
        <w:t xml:space="preserve"> MPR can also be reused </w:t>
      </w:r>
    </w:p>
    <w:p w14:paraId="21E6D262" w14:textId="2B00ED67" w:rsidR="00AE05E5" w:rsidRPr="00AE05E5" w:rsidRDefault="00AE05E5" w:rsidP="00AE05E5">
      <w:pPr>
        <w:pStyle w:val="ListParagraph"/>
        <w:numPr>
          <w:ilvl w:val="0"/>
          <w:numId w:val="24"/>
        </w:numPr>
        <w:spacing w:after="0"/>
        <w:jc w:val="both"/>
      </w:pPr>
      <w:r>
        <w:rPr>
          <w:lang w:val="en-CA"/>
        </w:rPr>
        <w:t>20MHz channel 15kHz SCS and 40MHz channel 15kHz SCS with a gap of 20MHz (100MHz class and in gap ACLR)</w:t>
      </w:r>
    </w:p>
    <w:p w14:paraId="082EB6ED" w14:textId="5DA05BBD" w:rsidR="00AE05E5" w:rsidRPr="00AE05E5" w:rsidRDefault="00AE05E5" w:rsidP="00AE05E5">
      <w:pPr>
        <w:pStyle w:val="ListParagraph"/>
        <w:numPr>
          <w:ilvl w:val="0"/>
          <w:numId w:val="24"/>
        </w:numPr>
        <w:spacing w:after="0"/>
        <w:jc w:val="both"/>
      </w:pPr>
      <w:r>
        <w:rPr>
          <w:lang w:val="en-CA"/>
        </w:rPr>
        <w:t>40MHz channel 15kHz SCS and 40MHz channel 15kHz SCS with a gap of 120MHz (200MHz class)</w:t>
      </w:r>
    </w:p>
    <w:p w14:paraId="3FCDAD32" w14:textId="7AACE87D" w:rsidR="00AE05E5" w:rsidRPr="007C1FFC" w:rsidRDefault="00AE05E5" w:rsidP="00AE05E5">
      <w:pPr>
        <w:pStyle w:val="ListParagraph"/>
        <w:numPr>
          <w:ilvl w:val="0"/>
          <w:numId w:val="24"/>
        </w:numPr>
        <w:spacing w:after="0"/>
        <w:jc w:val="both"/>
      </w:pPr>
      <w:r>
        <w:rPr>
          <w:lang w:val="en-CA"/>
        </w:rPr>
        <w:t xml:space="preserve">100MHz channel 30kHz SCS and </w:t>
      </w:r>
      <w:r w:rsidR="007C1FFC">
        <w:rPr>
          <w:lang w:val="en-CA"/>
        </w:rPr>
        <w:t>100</w:t>
      </w:r>
      <w:r>
        <w:rPr>
          <w:lang w:val="en-CA"/>
        </w:rPr>
        <w:t>MHz channel 30kHz SCS with a gap of 400MHz (</w:t>
      </w:r>
      <w:r w:rsidR="007C1FFC">
        <w:rPr>
          <w:lang w:val="en-CA"/>
        </w:rPr>
        <w:t>6</w:t>
      </w:r>
      <w:r>
        <w:rPr>
          <w:lang w:val="en-CA"/>
        </w:rPr>
        <w:t>00MHz class)</w:t>
      </w:r>
    </w:p>
    <w:p w14:paraId="565FF7EC" w14:textId="77777777" w:rsidR="007C1FFC" w:rsidRDefault="007C1FFC" w:rsidP="007C1FFC">
      <w:pPr>
        <w:spacing w:after="0"/>
        <w:jc w:val="both"/>
      </w:pPr>
    </w:p>
    <w:p w14:paraId="6280127E" w14:textId="65705765" w:rsidR="003C4C79" w:rsidRDefault="007C1FFC" w:rsidP="007C1FFC">
      <w:pPr>
        <w:spacing w:after="0"/>
        <w:jc w:val="both"/>
        <w:rPr>
          <w:b/>
        </w:rPr>
      </w:pPr>
      <w:r w:rsidRPr="007C1FFC">
        <w:rPr>
          <w:b/>
        </w:rPr>
        <w:t xml:space="preserve">Proposal </w:t>
      </w:r>
      <w:r>
        <w:rPr>
          <w:b/>
        </w:rPr>
        <w:t>3</w:t>
      </w:r>
      <w:r w:rsidR="003C4C79">
        <w:rPr>
          <w:b/>
        </w:rPr>
        <w:t xml:space="preserve"> for </w:t>
      </w:r>
      <w:r w:rsidR="00160255">
        <w:rPr>
          <w:b/>
        </w:rPr>
        <w:t xml:space="preserve">PC2 MPR/A-MPR </w:t>
      </w:r>
      <w:r w:rsidR="003C4C79">
        <w:rPr>
          <w:b/>
        </w:rPr>
        <w:t>evaluation</w:t>
      </w:r>
      <w:r w:rsidRPr="007C1FFC">
        <w:rPr>
          <w:b/>
        </w:rPr>
        <w:t xml:space="preserve">: </w:t>
      </w:r>
    </w:p>
    <w:p w14:paraId="1A571C79" w14:textId="77777777" w:rsidR="003C4C79" w:rsidRPr="003C4C79" w:rsidRDefault="003C4C79" w:rsidP="003C4C79">
      <w:pPr>
        <w:pStyle w:val="ListParagraph"/>
        <w:numPr>
          <w:ilvl w:val="0"/>
          <w:numId w:val="35"/>
        </w:numPr>
        <w:spacing w:after="0"/>
        <w:jc w:val="both"/>
        <w:rPr>
          <w:b/>
        </w:rPr>
      </w:pPr>
      <w:r w:rsidRPr="003C4C79">
        <w:rPr>
          <w:b/>
          <w:lang w:val="en-CA"/>
        </w:rPr>
        <w:t>Antenna isolation is 10dB and 4dB post-PA losses</w:t>
      </w:r>
    </w:p>
    <w:p w14:paraId="0269EE7B" w14:textId="1AEBFDC4" w:rsidR="003C4C79" w:rsidRDefault="003C4C79" w:rsidP="003C4C79">
      <w:pPr>
        <w:pStyle w:val="ListParagraph"/>
        <w:numPr>
          <w:ilvl w:val="0"/>
          <w:numId w:val="35"/>
        </w:numPr>
        <w:spacing w:after="0"/>
        <w:jc w:val="both"/>
        <w:rPr>
          <w:b/>
        </w:rPr>
      </w:pPr>
      <w:r>
        <w:rPr>
          <w:b/>
        </w:rPr>
        <w:t>Usual PC2 calibration for each PA</w:t>
      </w:r>
    </w:p>
    <w:p w14:paraId="182BEA3E" w14:textId="2095FED2" w:rsidR="003C4C79" w:rsidRPr="003C4C79" w:rsidRDefault="003C4C79" w:rsidP="003C4C79">
      <w:pPr>
        <w:pStyle w:val="ListParagraph"/>
        <w:numPr>
          <w:ilvl w:val="0"/>
          <w:numId w:val="35"/>
        </w:numPr>
        <w:spacing w:after="0"/>
        <w:jc w:val="both"/>
        <w:rPr>
          <w:b/>
        </w:rPr>
      </w:pPr>
      <w:r w:rsidRPr="003C4C79">
        <w:rPr>
          <w:b/>
          <w:lang w:val="en-CA"/>
        </w:rPr>
        <w:t>Equal PSD and Equal back-off power split</w:t>
      </w:r>
    </w:p>
    <w:p w14:paraId="62751D63" w14:textId="082DA141" w:rsidR="007C1FFC" w:rsidRPr="003C4C79" w:rsidRDefault="003C4C79" w:rsidP="003C4C79">
      <w:pPr>
        <w:pStyle w:val="ListParagraph"/>
        <w:numPr>
          <w:ilvl w:val="0"/>
          <w:numId w:val="34"/>
        </w:numPr>
        <w:spacing w:after="0"/>
        <w:jc w:val="both"/>
        <w:rPr>
          <w:b/>
        </w:rPr>
      </w:pPr>
      <w:r w:rsidRPr="003C4C79">
        <w:rPr>
          <w:b/>
        </w:rPr>
        <w:t>T</w:t>
      </w:r>
      <w:r w:rsidR="007C1FFC" w:rsidRPr="003C4C79">
        <w:rPr>
          <w:b/>
        </w:rPr>
        <w:t xml:space="preserve">he </w:t>
      </w:r>
      <w:r>
        <w:rPr>
          <w:b/>
        </w:rPr>
        <w:t xml:space="preserve">detailed </w:t>
      </w:r>
      <w:r w:rsidR="007C1FFC" w:rsidRPr="003C4C79">
        <w:rPr>
          <w:b/>
        </w:rPr>
        <w:t xml:space="preserve">list of </w:t>
      </w:r>
      <w:r w:rsidR="00160255">
        <w:rPr>
          <w:b/>
        </w:rPr>
        <w:t>scenarios</w:t>
      </w:r>
      <w:r w:rsidR="007C1FFC" w:rsidRPr="003C4C79">
        <w:rPr>
          <w:b/>
        </w:rPr>
        <w:t xml:space="preserve"> above are used for PC2 non-contiguous UL CA MPR and NS04 A-MPR</w:t>
      </w:r>
      <w:r w:rsidRPr="003C4C79">
        <w:rPr>
          <w:b/>
        </w:rPr>
        <w:t xml:space="preserve"> evaluation</w:t>
      </w:r>
    </w:p>
    <w:p w14:paraId="7BE54F94" w14:textId="77777777" w:rsidR="00305289" w:rsidRDefault="00305289" w:rsidP="00305289">
      <w:pPr>
        <w:pStyle w:val="Heading1"/>
      </w:pPr>
      <w:r>
        <w:t>Conclusions</w:t>
      </w:r>
    </w:p>
    <w:p w14:paraId="272ACCE4" w14:textId="5059C00D" w:rsidR="00305289" w:rsidRDefault="00305289" w:rsidP="00305289">
      <w:pPr>
        <w:spacing w:after="0"/>
        <w:jc w:val="both"/>
      </w:pPr>
      <w:r>
        <w:t xml:space="preserve">In this contribution, we </w:t>
      </w:r>
      <w:r w:rsidR="007C1FFC">
        <w:t xml:space="preserve">discuss the baseline PA architecture and MPR/A-MPR evaluation assumptions for PC2 non-contiguous UL CA. </w:t>
      </w:r>
      <w:r w:rsidR="00160255">
        <w:t xml:space="preserve">We also </w:t>
      </w:r>
      <w:r w:rsidR="003A045F">
        <w:t>provide</w:t>
      </w:r>
      <w:r w:rsidR="00160255">
        <w:t xml:space="preserve"> a status of the different Release 16 ENDC and UL CA MPR/A-MPR and </w:t>
      </w:r>
      <w:r w:rsidR="007C1FFC">
        <w:t>make the following proposals.</w:t>
      </w:r>
    </w:p>
    <w:p w14:paraId="2ACA2049" w14:textId="77777777" w:rsidR="00160255" w:rsidRDefault="00160255" w:rsidP="00305289">
      <w:pPr>
        <w:spacing w:after="0"/>
        <w:jc w:val="both"/>
      </w:pPr>
    </w:p>
    <w:p w14:paraId="4B2D667C" w14:textId="77777777" w:rsidR="003A045F" w:rsidRDefault="003A045F" w:rsidP="003A045F">
      <w:pPr>
        <w:spacing w:after="0"/>
        <w:rPr>
          <w:b/>
        </w:rPr>
      </w:pPr>
      <w:r w:rsidRPr="007B6F57">
        <w:rPr>
          <w:b/>
        </w:rPr>
        <w:lastRenderedPageBreak/>
        <w:t>Proposal for PC2 baseline architecture and requirements:</w:t>
      </w:r>
    </w:p>
    <w:p w14:paraId="27C17758" w14:textId="77777777" w:rsidR="003A045F" w:rsidRDefault="003A045F" w:rsidP="003A045F">
      <w:pPr>
        <w:pStyle w:val="ListParagraph"/>
        <w:numPr>
          <w:ilvl w:val="0"/>
          <w:numId w:val="31"/>
        </w:numPr>
        <w:spacing w:after="0"/>
        <w:rPr>
          <w:b/>
        </w:rPr>
      </w:pPr>
      <w:r>
        <w:rPr>
          <w:b/>
        </w:rPr>
        <w:t>PC3 non-contiguous UL CA SEM requirement applicable to PC2</w:t>
      </w:r>
    </w:p>
    <w:p w14:paraId="440C2BB5" w14:textId="77777777" w:rsidR="003A045F" w:rsidRDefault="003A045F" w:rsidP="003A045F">
      <w:pPr>
        <w:pStyle w:val="ListParagraph"/>
        <w:numPr>
          <w:ilvl w:val="0"/>
          <w:numId w:val="31"/>
        </w:numPr>
        <w:spacing w:after="0"/>
        <w:rPr>
          <w:b/>
        </w:rPr>
      </w:pPr>
      <w:r>
        <w:rPr>
          <w:b/>
        </w:rPr>
        <w:t>PC3 ACLR definition is applicable to PC2 with 31dB ACLR instead of 30 dB</w:t>
      </w:r>
    </w:p>
    <w:p w14:paraId="21F59633" w14:textId="77777777" w:rsidR="003A045F" w:rsidRDefault="003A045F" w:rsidP="003A045F">
      <w:pPr>
        <w:pStyle w:val="ListParagraph"/>
        <w:numPr>
          <w:ilvl w:val="0"/>
          <w:numId w:val="31"/>
        </w:numPr>
        <w:spacing w:after="0"/>
        <w:rPr>
          <w:b/>
        </w:rPr>
      </w:pPr>
      <w:r>
        <w:rPr>
          <w:b/>
        </w:rPr>
        <w:t>MPR and A-MPR values are derived from a two PC2 PAs and antennas each supporting one of the CC</w:t>
      </w:r>
    </w:p>
    <w:p w14:paraId="274559E0" w14:textId="77777777" w:rsidR="00160255" w:rsidRDefault="00160255" w:rsidP="00305289">
      <w:pPr>
        <w:spacing w:after="0"/>
        <w:jc w:val="both"/>
      </w:pPr>
    </w:p>
    <w:p w14:paraId="75201EFB" w14:textId="77777777" w:rsidR="003A045F" w:rsidRDefault="003A045F" w:rsidP="003A045F">
      <w:pPr>
        <w:spacing w:after="0"/>
        <w:rPr>
          <w:b/>
        </w:rPr>
      </w:pPr>
      <w:r w:rsidRPr="0013259F">
        <w:rPr>
          <w:b/>
        </w:rPr>
        <w:t>Proposal</w:t>
      </w:r>
      <w:r>
        <w:rPr>
          <w:b/>
        </w:rPr>
        <w:t xml:space="preserve"> 2 on consistency checks</w:t>
      </w:r>
      <w:r w:rsidRPr="0013259F">
        <w:rPr>
          <w:b/>
        </w:rPr>
        <w:t>:</w:t>
      </w:r>
      <w:r>
        <w:rPr>
          <w:b/>
        </w:rPr>
        <w:t xml:space="preserve"> </w:t>
      </w:r>
    </w:p>
    <w:p w14:paraId="6C517CB7" w14:textId="77777777" w:rsidR="003A045F" w:rsidRDefault="003A045F" w:rsidP="003A045F">
      <w:pPr>
        <w:pStyle w:val="ListParagraph"/>
        <w:numPr>
          <w:ilvl w:val="0"/>
          <w:numId w:val="33"/>
        </w:numPr>
        <w:spacing w:after="0"/>
        <w:rPr>
          <w:b/>
        </w:rPr>
      </w:pPr>
      <w:r w:rsidRPr="00B0540C">
        <w:rPr>
          <w:b/>
        </w:rPr>
        <w:t xml:space="preserve">While PC2 UL CA contiguous and non-contiguous UL CA cases are evaluated, the PC3 numbers should further be verified for consistency. </w:t>
      </w:r>
    </w:p>
    <w:p w14:paraId="0D2A6A4D" w14:textId="77777777" w:rsidR="003A045F" w:rsidRPr="00B0540C" w:rsidRDefault="003A045F" w:rsidP="003A045F">
      <w:pPr>
        <w:pStyle w:val="ListParagraph"/>
        <w:numPr>
          <w:ilvl w:val="0"/>
          <w:numId w:val="33"/>
        </w:numPr>
        <w:spacing w:after="0"/>
        <w:rPr>
          <w:b/>
        </w:rPr>
      </w:pPr>
      <w:r w:rsidRPr="00B0540C">
        <w:rPr>
          <w:b/>
        </w:rPr>
        <w:t>Missing PC3 non-co</w:t>
      </w:r>
      <w:r>
        <w:rPr>
          <w:b/>
        </w:rPr>
        <w:t>ntiguous UL CA NS04 A-MPR for two PC3 PA architecture is</w:t>
      </w:r>
      <w:r w:rsidRPr="00B0540C">
        <w:rPr>
          <w:b/>
        </w:rPr>
        <w:t xml:space="preserve"> evaluated (input exists in </w:t>
      </w:r>
      <w:r w:rsidRPr="00660FD7">
        <w:rPr>
          <w:b/>
          <w:color w:val="000000"/>
          <w:sz w:val="18"/>
          <w:szCs w:val="18"/>
        </w:rPr>
        <w:t>R4-2010301</w:t>
      </w:r>
      <w:r w:rsidRPr="00B0540C">
        <w:rPr>
          <w:b/>
          <w:color w:val="000000"/>
          <w:sz w:val="18"/>
          <w:szCs w:val="18"/>
        </w:rPr>
        <w:t>)</w:t>
      </w:r>
      <w:bookmarkStart w:id="2" w:name="_GoBack"/>
      <w:bookmarkEnd w:id="2"/>
    </w:p>
    <w:p w14:paraId="020DF23B" w14:textId="77777777" w:rsidR="00160255" w:rsidRDefault="00160255" w:rsidP="00305289">
      <w:pPr>
        <w:spacing w:after="0"/>
        <w:jc w:val="both"/>
      </w:pPr>
    </w:p>
    <w:p w14:paraId="16C82697" w14:textId="77777777" w:rsidR="003A045F" w:rsidRDefault="003A045F" w:rsidP="003A045F">
      <w:pPr>
        <w:spacing w:after="0"/>
        <w:jc w:val="both"/>
        <w:rPr>
          <w:b/>
        </w:rPr>
      </w:pPr>
      <w:r w:rsidRPr="007C1FFC">
        <w:rPr>
          <w:b/>
        </w:rPr>
        <w:t xml:space="preserve">Proposal </w:t>
      </w:r>
      <w:r>
        <w:rPr>
          <w:b/>
        </w:rPr>
        <w:t>3 for PC2 MPR/A-MPR evaluation</w:t>
      </w:r>
      <w:r w:rsidRPr="007C1FFC">
        <w:rPr>
          <w:b/>
        </w:rPr>
        <w:t xml:space="preserve">: </w:t>
      </w:r>
    </w:p>
    <w:p w14:paraId="177D23D5" w14:textId="77777777" w:rsidR="003A045F" w:rsidRPr="003C4C79" w:rsidRDefault="003A045F" w:rsidP="003A045F">
      <w:pPr>
        <w:pStyle w:val="ListParagraph"/>
        <w:numPr>
          <w:ilvl w:val="0"/>
          <w:numId w:val="35"/>
        </w:numPr>
        <w:spacing w:after="0"/>
        <w:jc w:val="both"/>
        <w:rPr>
          <w:b/>
        </w:rPr>
      </w:pPr>
      <w:r w:rsidRPr="003C4C79">
        <w:rPr>
          <w:b/>
          <w:lang w:val="en-CA"/>
        </w:rPr>
        <w:t>Antenna isolation is 10dB and 4dB post-PA losses</w:t>
      </w:r>
    </w:p>
    <w:p w14:paraId="36D465F7" w14:textId="77777777" w:rsidR="003A045F" w:rsidRDefault="003A045F" w:rsidP="003A045F">
      <w:pPr>
        <w:pStyle w:val="ListParagraph"/>
        <w:numPr>
          <w:ilvl w:val="0"/>
          <w:numId w:val="35"/>
        </w:numPr>
        <w:spacing w:after="0"/>
        <w:jc w:val="both"/>
        <w:rPr>
          <w:b/>
        </w:rPr>
      </w:pPr>
      <w:r>
        <w:rPr>
          <w:b/>
        </w:rPr>
        <w:t>Usual PC2 calibration for each PA</w:t>
      </w:r>
    </w:p>
    <w:p w14:paraId="0D58886E" w14:textId="77777777" w:rsidR="003A045F" w:rsidRPr="003C4C79" w:rsidRDefault="003A045F" w:rsidP="003A045F">
      <w:pPr>
        <w:pStyle w:val="ListParagraph"/>
        <w:numPr>
          <w:ilvl w:val="0"/>
          <w:numId w:val="35"/>
        </w:numPr>
        <w:spacing w:after="0"/>
        <w:jc w:val="both"/>
        <w:rPr>
          <w:b/>
        </w:rPr>
      </w:pPr>
      <w:r w:rsidRPr="003C4C79">
        <w:rPr>
          <w:b/>
          <w:lang w:val="en-CA"/>
        </w:rPr>
        <w:t>Equal PSD and Equal back-off power split</w:t>
      </w:r>
    </w:p>
    <w:p w14:paraId="18769352" w14:textId="77777777" w:rsidR="003A045F" w:rsidRPr="003C4C79" w:rsidRDefault="003A045F" w:rsidP="003A045F">
      <w:pPr>
        <w:pStyle w:val="ListParagraph"/>
        <w:numPr>
          <w:ilvl w:val="0"/>
          <w:numId w:val="34"/>
        </w:numPr>
        <w:spacing w:after="0"/>
        <w:jc w:val="both"/>
        <w:rPr>
          <w:b/>
        </w:rPr>
      </w:pPr>
      <w:r w:rsidRPr="003C4C79">
        <w:rPr>
          <w:b/>
        </w:rPr>
        <w:t xml:space="preserve">The </w:t>
      </w:r>
      <w:r>
        <w:rPr>
          <w:b/>
        </w:rPr>
        <w:t xml:space="preserve">detailed </w:t>
      </w:r>
      <w:r w:rsidRPr="003C4C79">
        <w:rPr>
          <w:b/>
        </w:rPr>
        <w:t xml:space="preserve">list of </w:t>
      </w:r>
      <w:r>
        <w:rPr>
          <w:b/>
        </w:rPr>
        <w:t>scenarios</w:t>
      </w:r>
      <w:r w:rsidRPr="003C4C79">
        <w:rPr>
          <w:b/>
        </w:rPr>
        <w:t xml:space="preserve"> above are used for PC2 non-contiguous UL CA MPR and NS04 A-MPR evaluation</w:t>
      </w:r>
    </w:p>
    <w:p w14:paraId="03D6921F" w14:textId="77777777" w:rsidR="00F10F97" w:rsidRDefault="007321E3" w:rsidP="00C8525F">
      <w:pPr>
        <w:pStyle w:val="Heading1"/>
        <w:numPr>
          <w:ilvl w:val="0"/>
          <w:numId w:val="0"/>
        </w:numPr>
        <w:jc w:val="both"/>
      </w:pPr>
      <w:r>
        <w:t>R</w:t>
      </w:r>
      <w:r w:rsidR="00F10F97">
        <w:t>eferences</w:t>
      </w:r>
    </w:p>
    <w:p w14:paraId="69703098" w14:textId="42C74992" w:rsidR="004B0191" w:rsidRPr="004B0191" w:rsidRDefault="0001710C" w:rsidP="004B0191">
      <w:pPr>
        <w:spacing w:after="0"/>
      </w:pPr>
      <w:r w:rsidRPr="004B0191">
        <w:t>[1]</w:t>
      </w:r>
      <w:r w:rsidR="00F424A4" w:rsidRPr="00F424A4">
        <w:t xml:space="preserve"> RP-202799</w:t>
      </w:r>
      <w:r w:rsidR="00F424A4">
        <w:t xml:space="preserve"> </w:t>
      </w:r>
      <w:r w:rsidR="00F424A4" w:rsidRPr="00F424A4">
        <w:t>WID revision: RF requirements enhancement for NR frequency range 1 (FR1)</w:t>
      </w:r>
      <w:r w:rsidR="00F424A4">
        <w:t xml:space="preserve">, </w:t>
      </w:r>
      <w:r w:rsidR="00F424A4" w:rsidRPr="00F424A4">
        <w:t>Huawei</w:t>
      </w:r>
      <w:r w:rsidR="004B0191" w:rsidRPr="004B0191">
        <w:t>,</w:t>
      </w:r>
      <w:r w:rsidR="00F424A4">
        <w:t xml:space="preserve"> RAN#90e</w:t>
      </w:r>
    </w:p>
    <w:p w14:paraId="0164DC66" w14:textId="77777777" w:rsidR="00F424A4" w:rsidRDefault="00F424A4" w:rsidP="00F424A4">
      <w:pPr>
        <w:spacing w:after="0"/>
      </w:pPr>
    </w:p>
    <w:p w14:paraId="0A8630F2" w14:textId="28928E8D" w:rsidR="004B0191" w:rsidRDefault="00357919" w:rsidP="00357919">
      <w:r w:rsidRPr="004B0191">
        <w:t>[2]</w:t>
      </w:r>
      <w:r w:rsidRPr="004B0191">
        <w:tab/>
      </w:r>
      <w:r w:rsidR="001E49D7" w:rsidRPr="004B0191">
        <w:t xml:space="preserve">R4-2008132 </w:t>
      </w:r>
      <w:r w:rsidR="004B0191" w:rsidRPr="004B0191">
        <w:rPr>
          <w:lang w:val="en-CA"/>
        </w:rPr>
        <w:t>WF on remaining issues on MPR and AMPR for intra-band non-contiguous CA</w:t>
      </w:r>
      <w:r w:rsidR="001E49D7" w:rsidRPr="004B0191">
        <w:t xml:space="preserve">, </w:t>
      </w:r>
      <w:r w:rsidR="004B0191" w:rsidRPr="004B0191">
        <w:t xml:space="preserve">Skyworks, Qualcomm, Huawei, </w:t>
      </w:r>
      <w:proofErr w:type="spellStart"/>
      <w:r w:rsidR="004B0191" w:rsidRPr="004B0191">
        <w:t>HiSilicon</w:t>
      </w:r>
      <w:proofErr w:type="spellEnd"/>
      <w:r w:rsidR="004B0191" w:rsidRPr="004B0191">
        <w:t xml:space="preserve">, Nokia, </w:t>
      </w:r>
      <w:proofErr w:type="gramStart"/>
      <w:r w:rsidR="001E49D7" w:rsidRPr="004B0191">
        <w:t>RAN4</w:t>
      </w:r>
      <w:proofErr w:type="gramEnd"/>
      <w:r w:rsidR="001E49D7" w:rsidRPr="004B0191">
        <w:t>#95-e</w:t>
      </w:r>
    </w:p>
    <w:p w14:paraId="06433F5A" w14:textId="491437A8" w:rsidR="00F424A4" w:rsidRDefault="00F424A4" w:rsidP="00357919">
      <w:r>
        <w:t xml:space="preserve">[3] </w:t>
      </w:r>
      <w:r w:rsidRPr="00F424A4">
        <w:t>R4-2010301 [FR1ULCA] UE TX measurements and requirements for non-contiguous ULCA MPR and A-MPR</w:t>
      </w:r>
      <w:r>
        <w:t xml:space="preserve">, Skyworks Solutions Inc., </w:t>
      </w:r>
      <w:r w:rsidRPr="004B0191">
        <w:t>RAN4#9</w:t>
      </w:r>
      <w:r>
        <w:t>6</w:t>
      </w:r>
      <w:r w:rsidRPr="004B0191">
        <w:t>-e</w:t>
      </w:r>
    </w:p>
    <w:p w14:paraId="45CFB848" w14:textId="569B7A23" w:rsidR="00B07B92" w:rsidRPr="004B0191" w:rsidRDefault="00B07B92" w:rsidP="00357919">
      <w:r>
        <w:t xml:space="preserve">[4] </w:t>
      </w:r>
      <w:r w:rsidRPr="00B07B92">
        <w:t>R4-2100544 PC2 Class C UL CA</w:t>
      </w:r>
      <w:r w:rsidR="000B6DE3">
        <w:t xml:space="preserve"> </w:t>
      </w:r>
      <w:r w:rsidRPr="00B07B92">
        <w:t>UE Architecture and MPR&amp;A-MPR</w:t>
      </w:r>
      <w:r>
        <w:t xml:space="preserve">, Skyworks Solutions Inc., </w:t>
      </w:r>
      <w:r w:rsidRPr="004B0191">
        <w:t>RAN4#9</w:t>
      </w:r>
      <w:r>
        <w:t>8</w:t>
      </w:r>
      <w:r w:rsidRPr="004B0191">
        <w:t>-e</w:t>
      </w:r>
    </w:p>
    <w:sectPr w:rsidR="00B07B92" w:rsidRPr="004B0191" w:rsidSect="00EA0A48">
      <w:footerReference w:type="default" r:id="rId9"/>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ACE16" w14:textId="77777777" w:rsidR="0083662C" w:rsidRDefault="0083662C">
      <w:r>
        <w:separator/>
      </w:r>
    </w:p>
  </w:endnote>
  <w:endnote w:type="continuationSeparator" w:id="0">
    <w:p w14:paraId="2F602205" w14:textId="77777777" w:rsidR="0083662C" w:rsidRDefault="0083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B24368" w:rsidRDefault="00B2436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0802D2" w14:textId="77777777" w:rsidR="0083662C" w:rsidRDefault="0083662C">
      <w:r>
        <w:separator/>
      </w:r>
    </w:p>
  </w:footnote>
  <w:footnote w:type="continuationSeparator" w:id="0">
    <w:p w14:paraId="5B87D837" w14:textId="77777777" w:rsidR="0083662C" w:rsidRDefault="008366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425127A"/>
    <w:multiLevelType w:val="hybridMultilevel"/>
    <w:tmpl w:val="979CB3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4635127"/>
    <w:multiLevelType w:val="hybridMultilevel"/>
    <w:tmpl w:val="01687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B514BC"/>
    <w:multiLevelType w:val="hybridMultilevel"/>
    <w:tmpl w:val="5CB85F22"/>
    <w:lvl w:ilvl="0" w:tplc="1034DFDE">
      <w:start w:val="2"/>
      <w:numFmt w:val="bullet"/>
      <w:lvlText w:val=""/>
      <w:lvlJc w:val="left"/>
      <w:pPr>
        <w:ind w:left="928" w:hanging="360"/>
      </w:pPr>
      <w:rPr>
        <w:rFonts w:ascii="Wingdings" w:eastAsia="SimSun" w:hAnsi="Wingdings" w:cs="Times New Roman" w:hint="default"/>
      </w:rPr>
    </w:lvl>
    <w:lvl w:ilvl="1" w:tplc="04090003" w:tentative="1">
      <w:start w:val="1"/>
      <w:numFmt w:val="bullet"/>
      <w:lvlText w:val="o"/>
      <w:lvlJc w:val="left"/>
      <w:pPr>
        <w:ind w:left="568" w:hanging="360"/>
      </w:pPr>
      <w:rPr>
        <w:rFonts w:ascii="Courier New" w:hAnsi="Courier New" w:cs="Courier New" w:hint="default"/>
      </w:rPr>
    </w:lvl>
    <w:lvl w:ilvl="2" w:tplc="04090005" w:tentative="1">
      <w:start w:val="1"/>
      <w:numFmt w:val="bullet"/>
      <w:lvlText w:val=""/>
      <w:lvlJc w:val="left"/>
      <w:pPr>
        <w:ind w:left="1288" w:hanging="360"/>
      </w:pPr>
      <w:rPr>
        <w:rFonts w:ascii="Wingdings" w:hAnsi="Wingdings" w:hint="default"/>
      </w:rPr>
    </w:lvl>
    <w:lvl w:ilvl="3" w:tplc="04090001" w:tentative="1">
      <w:start w:val="1"/>
      <w:numFmt w:val="bullet"/>
      <w:lvlText w:val=""/>
      <w:lvlJc w:val="left"/>
      <w:pPr>
        <w:ind w:left="2008" w:hanging="360"/>
      </w:pPr>
      <w:rPr>
        <w:rFonts w:ascii="Symbol" w:hAnsi="Symbol" w:hint="default"/>
      </w:rPr>
    </w:lvl>
    <w:lvl w:ilvl="4" w:tplc="04090003" w:tentative="1">
      <w:start w:val="1"/>
      <w:numFmt w:val="bullet"/>
      <w:lvlText w:val="o"/>
      <w:lvlJc w:val="left"/>
      <w:pPr>
        <w:ind w:left="2728" w:hanging="360"/>
      </w:pPr>
      <w:rPr>
        <w:rFonts w:ascii="Courier New" w:hAnsi="Courier New" w:cs="Courier New" w:hint="default"/>
      </w:rPr>
    </w:lvl>
    <w:lvl w:ilvl="5" w:tplc="04090005" w:tentative="1">
      <w:start w:val="1"/>
      <w:numFmt w:val="bullet"/>
      <w:lvlText w:val=""/>
      <w:lvlJc w:val="left"/>
      <w:pPr>
        <w:ind w:left="3448" w:hanging="360"/>
      </w:pPr>
      <w:rPr>
        <w:rFonts w:ascii="Wingdings" w:hAnsi="Wingdings" w:hint="default"/>
      </w:rPr>
    </w:lvl>
    <w:lvl w:ilvl="6" w:tplc="04090001" w:tentative="1">
      <w:start w:val="1"/>
      <w:numFmt w:val="bullet"/>
      <w:lvlText w:val=""/>
      <w:lvlJc w:val="left"/>
      <w:pPr>
        <w:ind w:left="4168" w:hanging="360"/>
      </w:pPr>
      <w:rPr>
        <w:rFonts w:ascii="Symbol" w:hAnsi="Symbol" w:hint="default"/>
      </w:rPr>
    </w:lvl>
    <w:lvl w:ilvl="7" w:tplc="04090003" w:tentative="1">
      <w:start w:val="1"/>
      <w:numFmt w:val="bullet"/>
      <w:lvlText w:val="o"/>
      <w:lvlJc w:val="left"/>
      <w:pPr>
        <w:ind w:left="4888" w:hanging="360"/>
      </w:pPr>
      <w:rPr>
        <w:rFonts w:ascii="Courier New" w:hAnsi="Courier New" w:cs="Courier New" w:hint="default"/>
      </w:rPr>
    </w:lvl>
    <w:lvl w:ilvl="8" w:tplc="04090005" w:tentative="1">
      <w:start w:val="1"/>
      <w:numFmt w:val="bullet"/>
      <w:lvlText w:val=""/>
      <w:lvlJc w:val="left"/>
      <w:pPr>
        <w:ind w:left="5608" w:hanging="360"/>
      </w:pPr>
      <w:rPr>
        <w:rFonts w:ascii="Wingdings" w:hAnsi="Wingdings" w:hint="default"/>
      </w:rPr>
    </w:lvl>
  </w:abstractNum>
  <w:abstractNum w:abstractNumId="4">
    <w:nsid w:val="17955840"/>
    <w:multiLevelType w:val="hybridMultilevel"/>
    <w:tmpl w:val="9C143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B786E34"/>
    <w:multiLevelType w:val="hybridMultilevel"/>
    <w:tmpl w:val="0688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0D57CC"/>
    <w:multiLevelType w:val="hybridMultilevel"/>
    <w:tmpl w:val="2982A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4A560A"/>
    <w:multiLevelType w:val="hybridMultilevel"/>
    <w:tmpl w:val="EE16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932564"/>
    <w:multiLevelType w:val="hybridMultilevel"/>
    <w:tmpl w:val="3E56DE04"/>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0">
    <w:nsid w:val="27F93F0B"/>
    <w:multiLevelType w:val="hybridMultilevel"/>
    <w:tmpl w:val="772C7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94577F"/>
    <w:multiLevelType w:val="hybridMultilevel"/>
    <w:tmpl w:val="BFB050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E75325"/>
    <w:multiLevelType w:val="hybridMultilevel"/>
    <w:tmpl w:val="0F8E11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2FCF64F0"/>
    <w:multiLevelType w:val="hybridMultilevel"/>
    <w:tmpl w:val="4AA4DACC"/>
    <w:lvl w:ilvl="0" w:tplc="1034DFDE">
      <w:start w:val="2"/>
      <w:numFmt w:val="bullet"/>
      <w:lvlText w:val=""/>
      <w:lvlJc w:val="left"/>
      <w:pPr>
        <w:ind w:left="180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4344F5"/>
    <w:multiLevelType w:val="hybridMultilevel"/>
    <w:tmpl w:val="62A26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8E727D0"/>
    <w:multiLevelType w:val="hybridMultilevel"/>
    <w:tmpl w:val="FF8E7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C13A8C"/>
    <w:multiLevelType w:val="hybridMultilevel"/>
    <w:tmpl w:val="A874E4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4FFF2188"/>
    <w:multiLevelType w:val="hybridMultilevel"/>
    <w:tmpl w:val="4130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187A7F"/>
    <w:multiLevelType w:val="hybridMultilevel"/>
    <w:tmpl w:val="56B2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130A53"/>
    <w:multiLevelType w:val="hybridMultilevel"/>
    <w:tmpl w:val="75CCA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E655B3"/>
    <w:multiLevelType w:val="hybridMultilevel"/>
    <w:tmpl w:val="EE7A4F82"/>
    <w:lvl w:ilvl="0" w:tplc="04090001">
      <w:start w:val="1"/>
      <w:numFmt w:val="bullet"/>
      <w:lvlText w:val=""/>
      <w:lvlJc w:val="left"/>
      <w:pPr>
        <w:ind w:left="4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25389D"/>
    <w:multiLevelType w:val="hybridMultilevel"/>
    <w:tmpl w:val="47B8D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794511"/>
    <w:multiLevelType w:val="hybridMultilevel"/>
    <w:tmpl w:val="A5C0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302928"/>
    <w:multiLevelType w:val="hybridMultilevel"/>
    <w:tmpl w:val="A1502C00"/>
    <w:lvl w:ilvl="0" w:tplc="1034DFDE">
      <w:start w:val="2"/>
      <w:numFmt w:val="bullet"/>
      <w:lvlText w:val=""/>
      <w:lvlJc w:val="left"/>
      <w:pPr>
        <w:ind w:left="1800" w:hanging="360"/>
      </w:pPr>
      <w:rPr>
        <w:rFonts w:ascii="Wingdings" w:eastAsia="SimSun" w:hAnsi="Wingding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16000A"/>
    <w:multiLevelType w:val="hybridMultilevel"/>
    <w:tmpl w:val="6C6CE8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9347B4"/>
    <w:multiLevelType w:val="hybridMultilevel"/>
    <w:tmpl w:val="234208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DBF55E2"/>
    <w:multiLevelType w:val="hybridMultilevel"/>
    <w:tmpl w:val="1504A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E03547"/>
    <w:multiLevelType w:val="hybridMultilevel"/>
    <w:tmpl w:val="3BE63F24"/>
    <w:lvl w:ilvl="0" w:tplc="AB88EA3A">
      <w:start w:val="1"/>
      <w:numFmt w:val="bullet"/>
      <w:lvlText w:val="•"/>
      <w:lvlJc w:val="left"/>
      <w:pPr>
        <w:tabs>
          <w:tab w:val="num" w:pos="720"/>
        </w:tabs>
        <w:ind w:left="720" w:hanging="360"/>
      </w:pPr>
      <w:rPr>
        <w:rFonts w:ascii="Arial" w:hAnsi="Arial" w:hint="default"/>
      </w:rPr>
    </w:lvl>
    <w:lvl w:ilvl="1" w:tplc="72FEEDA0" w:tentative="1">
      <w:start w:val="1"/>
      <w:numFmt w:val="bullet"/>
      <w:lvlText w:val="•"/>
      <w:lvlJc w:val="left"/>
      <w:pPr>
        <w:tabs>
          <w:tab w:val="num" w:pos="1440"/>
        </w:tabs>
        <w:ind w:left="1440" w:hanging="360"/>
      </w:pPr>
      <w:rPr>
        <w:rFonts w:ascii="Arial" w:hAnsi="Arial" w:hint="default"/>
      </w:rPr>
    </w:lvl>
    <w:lvl w:ilvl="2" w:tplc="B89A8616" w:tentative="1">
      <w:start w:val="1"/>
      <w:numFmt w:val="bullet"/>
      <w:lvlText w:val="•"/>
      <w:lvlJc w:val="left"/>
      <w:pPr>
        <w:tabs>
          <w:tab w:val="num" w:pos="2160"/>
        </w:tabs>
        <w:ind w:left="2160" w:hanging="360"/>
      </w:pPr>
      <w:rPr>
        <w:rFonts w:ascii="Arial" w:hAnsi="Arial" w:hint="default"/>
      </w:rPr>
    </w:lvl>
    <w:lvl w:ilvl="3" w:tplc="8C0E5EE6" w:tentative="1">
      <w:start w:val="1"/>
      <w:numFmt w:val="bullet"/>
      <w:lvlText w:val="•"/>
      <w:lvlJc w:val="left"/>
      <w:pPr>
        <w:tabs>
          <w:tab w:val="num" w:pos="2880"/>
        </w:tabs>
        <w:ind w:left="2880" w:hanging="360"/>
      </w:pPr>
      <w:rPr>
        <w:rFonts w:ascii="Arial" w:hAnsi="Arial" w:hint="default"/>
      </w:rPr>
    </w:lvl>
    <w:lvl w:ilvl="4" w:tplc="1772F14C" w:tentative="1">
      <w:start w:val="1"/>
      <w:numFmt w:val="bullet"/>
      <w:lvlText w:val="•"/>
      <w:lvlJc w:val="left"/>
      <w:pPr>
        <w:tabs>
          <w:tab w:val="num" w:pos="3600"/>
        </w:tabs>
        <w:ind w:left="3600" w:hanging="360"/>
      </w:pPr>
      <w:rPr>
        <w:rFonts w:ascii="Arial" w:hAnsi="Arial" w:hint="default"/>
      </w:rPr>
    </w:lvl>
    <w:lvl w:ilvl="5" w:tplc="8DD485E4" w:tentative="1">
      <w:start w:val="1"/>
      <w:numFmt w:val="bullet"/>
      <w:lvlText w:val="•"/>
      <w:lvlJc w:val="left"/>
      <w:pPr>
        <w:tabs>
          <w:tab w:val="num" w:pos="4320"/>
        </w:tabs>
        <w:ind w:left="4320" w:hanging="360"/>
      </w:pPr>
      <w:rPr>
        <w:rFonts w:ascii="Arial" w:hAnsi="Arial" w:hint="default"/>
      </w:rPr>
    </w:lvl>
    <w:lvl w:ilvl="6" w:tplc="FD9E3938" w:tentative="1">
      <w:start w:val="1"/>
      <w:numFmt w:val="bullet"/>
      <w:lvlText w:val="•"/>
      <w:lvlJc w:val="left"/>
      <w:pPr>
        <w:tabs>
          <w:tab w:val="num" w:pos="5040"/>
        </w:tabs>
        <w:ind w:left="5040" w:hanging="360"/>
      </w:pPr>
      <w:rPr>
        <w:rFonts w:ascii="Arial" w:hAnsi="Arial" w:hint="default"/>
      </w:rPr>
    </w:lvl>
    <w:lvl w:ilvl="7" w:tplc="909C55BC" w:tentative="1">
      <w:start w:val="1"/>
      <w:numFmt w:val="bullet"/>
      <w:lvlText w:val="•"/>
      <w:lvlJc w:val="left"/>
      <w:pPr>
        <w:tabs>
          <w:tab w:val="num" w:pos="5760"/>
        </w:tabs>
        <w:ind w:left="5760" w:hanging="360"/>
      </w:pPr>
      <w:rPr>
        <w:rFonts w:ascii="Arial" w:hAnsi="Arial" w:hint="default"/>
      </w:rPr>
    </w:lvl>
    <w:lvl w:ilvl="8" w:tplc="5D76019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7"/>
  </w:num>
  <w:num w:numId="3">
    <w:abstractNumId w:val="19"/>
  </w:num>
  <w:num w:numId="4">
    <w:abstractNumId w:val="31"/>
  </w:num>
  <w:num w:numId="5">
    <w:abstractNumId w:val="13"/>
  </w:num>
  <w:num w:numId="6">
    <w:abstractNumId w:val="0"/>
  </w:num>
  <w:num w:numId="7">
    <w:abstractNumId w:val="20"/>
  </w:num>
  <w:num w:numId="8">
    <w:abstractNumId w:val="28"/>
  </w:num>
  <w:num w:numId="9">
    <w:abstractNumId w:val="32"/>
  </w:num>
  <w:num w:numId="10">
    <w:abstractNumId w:val="24"/>
  </w:num>
  <w:num w:numId="11">
    <w:abstractNumId w:val="34"/>
  </w:num>
  <w:num w:numId="12">
    <w:abstractNumId w:val="33"/>
  </w:num>
  <w:num w:numId="13">
    <w:abstractNumId w:val="21"/>
  </w:num>
  <w:num w:numId="14">
    <w:abstractNumId w:val="12"/>
  </w:num>
  <w:num w:numId="15">
    <w:abstractNumId w:val="26"/>
  </w:num>
  <w:num w:numId="16">
    <w:abstractNumId w:val="4"/>
  </w:num>
  <w:num w:numId="17">
    <w:abstractNumId w:val="6"/>
  </w:num>
  <w:num w:numId="18">
    <w:abstractNumId w:val="8"/>
  </w:num>
  <w:num w:numId="19">
    <w:abstractNumId w:val="22"/>
  </w:num>
  <w:num w:numId="20">
    <w:abstractNumId w:val="7"/>
  </w:num>
  <w:num w:numId="21">
    <w:abstractNumId w:val="2"/>
  </w:num>
  <w:num w:numId="22">
    <w:abstractNumId w:val="23"/>
  </w:num>
  <w:num w:numId="23">
    <w:abstractNumId w:val="10"/>
  </w:num>
  <w:num w:numId="24">
    <w:abstractNumId w:val="1"/>
  </w:num>
  <w:num w:numId="25">
    <w:abstractNumId w:val="27"/>
  </w:num>
  <w:num w:numId="26">
    <w:abstractNumId w:val="14"/>
  </w:num>
  <w:num w:numId="27">
    <w:abstractNumId w:val="3"/>
  </w:num>
  <w:num w:numId="28">
    <w:abstractNumId w:val="9"/>
  </w:num>
  <w:num w:numId="29">
    <w:abstractNumId w:val="29"/>
  </w:num>
  <w:num w:numId="30">
    <w:abstractNumId w:val="30"/>
  </w:num>
  <w:num w:numId="31">
    <w:abstractNumId w:val="25"/>
  </w:num>
  <w:num w:numId="32">
    <w:abstractNumId w:val="16"/>
  </w:num>
  <w:num w:numId="33">
    <w:abstractNumId w:val="11"/>
  </w:num>
  <w:num w:numId="34">
    <w:abstractNumId w:val="18"/>
  </w:num>
  <w:num w:numId="35">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FE8"/>
    <w:rsid w:val="00026262"/>
    <w:rsid w:val="0002648D"/>
    <w:rsid w:val="00026904"/>
    <w:rsid w:val="00026A59"/>
    <w:rsid w:val="00026DA3"/>
    <w:rsid w:val="00026F5D"/>
    <w:rsid w:val="0002723D"/>
    <w:rsid w:val="00027460"/>
    <w:rsid w:val="00027E1B"/>
    <w:rsid w:val="00027EBB"/>
    <w:rsid w:val="000301E7"/>
    <w:rsid w:val="00030386"/>
    <w:rsid w:val="00030FFD"/>
    <w:rsid w:val="00031165"/>
    <w:rsid w:val="00031CC0"/>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00"/>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DE3"/>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59F"/>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255"/>
    <w:rsid w:val="0016089E"/>
    <w:rsid w:val="00160B74"/>
    <w:rsid w:val="00161166"/>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F20"/>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166"/>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2F9"/>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CDD"/>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18B"/>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110"/>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1B5"/>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00A"/>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3B"/>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3C6"/>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45F"/>
    <w:rsid w:val="003A08A7"/>
    <w:rsid w:val="003A1B19"/>
    <w:rsid w:val="003A1B2D"/>
    <w:rsid w:val="003A330F"/>
    <w:rsid w:val="003A3793"/>
    <w:rsid w:val="003A469E"/>
    <w:rsid w:val="003A471B"/>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4C79"/>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1B8"/>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91"/>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89"/>
    <w:rsid w:val="004E31BC"/>
    <w:rsid w:val="004E34A4"/>
    <w:rsid w:val="004E3817"/>
    <w:rsid w:val="004E4000"/>
    <w:rsid w:val="004E4A35"/>
    <w:rsid w:val="004E5418"/>
    <w:rsid w:val="004E585B"/>
    <w:rsid w:val="004E5E94"/>
    <w:rsid w:val="004E6B02"/>
    <w:rsid w:val="004E70A9"/>
    <w:rsid w:val="004E70F3"/>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27B18"/>
    <w:rsid w:val="0053056F"/>
    <w:rsid w:val="00530791"/>
    <w:rsid w:val="00530C6E"/>
    <w:rsid w:val="0053100C"/>
    <w:rsid w:val="005311DD"/>
    <w:rsid w:val="00531227"/>
    <w:rsid w:val="0053123B"/>
    <w:rsid w:val="00531682"/>
    <w:rsid w:val="005317BE"/>
    <w:rsid w:val="005320E2"/>
    <w:rsid w:val="00532738"/>
    <w:rsid w:val="00532F87"/>
    <w:rsid w:val="005332D7"/>
    <w:rsid w:val="0053355C"/>
    <w:rsid w:val="00533BA8"/>
    <w:rsid w:val="00533CC8"/>
    <w:rsid w:val="00533DD2"/>
    <w:rsid w:val="00533E48"/>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BA9"/>
    <w:rsid w:val="00596E62"/>
    <w:rsid w:val="00596F26"/>
    <w:rsid w:val="00597401"/>
    <w:rsid w:val="00597C42"/>
    <w:rsid w:val="00597D00"/>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32"/>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2FDA"/>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761"/>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6AFD"/>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FD7"/>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C2"/>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2D5B"/>
    <w:rsid w:val="006930A3"/>
    <w:rsid w:val="006933C9"/>
    <w:rsid w:val="0069348D"/>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C7FB2"/>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102"/>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2A5"/>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651"/>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6F57"/>
    <w:rsid w:val="007B74A3"/>
    <w:rsid w:val="007B75B2"/>
    <w:rsid w:val="007B75FE"/>
    <w:rsid w:val="007B7756"/>
    <w:rsid w:val="007C103D"/>
    <w:rsid w:val="007C1079"/>
    <w:rsid w:val="007C14EE"/>
    <w:rsid w:val="007C1537"/>
    <w:rsid w:val="007C1F9A"/>
    <w:rsid w:val="007C1FFC"/>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55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62C"/>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764"/>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27C"/>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586"/>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09A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63F"/>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4D"/>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3FF0"/>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5E5"/>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40C"/>
    <w:rsid w:val="00B05792"/>
    <w:rsid w:val="00B060FC"/>
    <w:rsid w:val="00B061BA"/>
    <w:rsid w:val="00B0658C"/>
    <w:rsid w:val="00B06C77"/>
    <w:rsid w:val="00B0705E"/>
    <w:rsid w:val="00B07373"/>
    <w:rsid w:val="00B07493"/>
    <w:rsid w:val="00B07565"/>
    <w:rsid w:val="00B076B0"/>
    <w:rsid w:val="00B07B92"/>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368"/>
    <w:rsid w:val="00B24476"/>
    <w:rsid w:val="00B24CB9"/>
    <w:rsid w:val="00B24D2B"/>
    <w:rsid w:val="00B24D41"/>
    <w:rsid w:val="00B25421"/>
    <w:rsid w:val="00B2554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1D3B"/>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A05"/>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1C2"/>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B69"/>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14F"/>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2FB6"/>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CA"/>
    <w:rsid w:val="00DB6AFD"/>
    <w:rsid w:val="00DB6F9E"/>
    <w:rsid w:val="00DB7162"/>
    <w:rsid w:val="00DB7188"/>
    <w:rsid w:val="00DB71A2"/>
    <w:rsid w:val="00DB7B4E"/>
    <w:rsid w:val="00DB7D64"/>
    <w:rsid w:val="00DC0799"/>
    <w:rsid w:val="00DC1532"/>
    <w:rsid w:val="00DC17E4"/>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7A"/>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3C5D"/>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402A1"/>
    <w:rsid w:val="00E407D2"/>
    <w:rsid w:val="00E40843"/>
    <w:rsid w:val="00E409A0"/>
    <w:rsid w:val="00E40AA3"/>
    <w:rsid w:val="00E40F03"/>
    <w:rsid w:val="00E41349"/>
    <w:rsid w:val="00E41973"/>
    <w:rsid w:val="00E4202F"/>
    <w:rsid w:val="00E42930"/>
    <w:rsid w:val="00E4298D"/>
    <w:rsid w:val="00E42C21"/>
    <w:rsid w:val="00E430DE"/>
    <w:rsid w:val="00E431B1"/>
    <w:rsid w:val="00E437D2"/>
    <w:rsid w:val="00E43CCD"/>
    <w:rsid w:val="00E44258"/>
    <w:rsid w:val="00E443A8"/>
    <w:rsid w:val="00E44587"/>
    <w:rsid w:val="00E44632"/>
    <w:rsid w:val="00E44BCB"/>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4147"/>
    <w:rsid w:val="00E74DAD"/>
    <w:rsid w:val="00E75179"/>
    <w:rsid w:val="00E75441"/>
    <w:rsid w:val="00E75784"/>
    <w:rsid w:val="00E75788"/>
    <w:rsid w:val="00E75931"/>
    <w:rsid w:val="00E77688"/>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34F"/>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0C3B"/>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4A4"/>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48C6"/>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TB2">
    <w:name w:val="TB2"/>
    <w:basedOn w:val="Normal"/>
    <w:qFormat/>
    <w:rsid w:val="00904764"/>
    <w:pPr>
      <w:keepNext/>
      <w:keepLines/>
      <w:numPr>
        <w:numId w:val="30"/>
      </w:numPr>
      <w:tabs>
        <w:tab w:val="left" w:pos="1109"/>
      </w:tabs>
      <w:spacing w:after="0"/>
      <w:ind w:left="1100" w:hanging="380"/>
    </w:pPr>
    <w:rPr>
      <w:rFonts w:ascii="Arial" w:eastAsia="MS Mincho"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TB2">
    <w:name w:val="TB2"/>
    <w:basedOn w:val="Normal"/>
    <w:qFormat/>
    <w:rsid w:val="00904764"/>
    <w:pPr>
      <w:keepNext/>
      <w:keepLines/>
      <w:numPr>
        <w:numId w:val="30"/>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2432717">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432566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5298989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837671">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0959869">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89196103">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0972709">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169001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C21F8-CE35-4F90-AE2F-A3854B2E7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345</TotalTime>
  <Pages>3</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6969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21</cp:revision>
  <cp:lastPrinted>2010-01-07T15:23:00Z</cp:lastPrinted>
  <dcterms:created xsi:type="dcterms:W3CDTF">2021-01-14T18:03:00Z</dcterms:created>
  <dcterms:modified xsi:type="dcterms:W3CDTF">2021-01-15T22:39:00Z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